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101" w:lineRule="auto" w:line="259"/>
        <w:ind w:left="387"/>
        <w:jc w:val="center"/>
        <w:rPr/>
      </w:pPr>
      <w:r>
        <w:rPr>
          <w:b/>
          <w:u w:val="single" w:color="000000"/>
        </w:rPr>
        <w:t>INDOSTAR CAPITAL FINANCE LIMITED</w:t>
      </w:r>
    </w:p>
    <w:p>
      <w:pPr>
        <w:pStyle w:val="style0"/>
        <w:spacing w:after="109" w:lineRule="auto" w:line="266"/>
        <w:ind w:left="535"/>
        <w:jc w:val="center"/>
        <w:rPr>
          <w:b/>
        </w:rPr>
      </w:pPr>
      <w:r>
        <w:rPr>
          <w:b/>
        </w:rPr>
        <w:t xml:space="preserve">Regd. Office: - </w:t>
      </w:r>
      <w:r>
        <w:rPr>
          <w:b/>
        </w:rPr>
        <w:t xml:space="preserve">Unit No. 505, 5th Floor, Wing 2/E, Corporate Avenue </w:t>
      </w:r>
      <w:r>
        <w:rPr>
          <w:b/>
        </w:rPr>
        <w:t>Andheri</w:t>
      </w:r>
      <w:r>
        <w:rPr>
          <w:b/>
        </w:rPr>
        <w:t xml:space="preserve">- </w:t>
      </w:r>
      <w:r>
        <w:rPr>
          <w:b/>
        </w:rPr>
        <w:t>Ghatkopar</w:t>
      </w:r>
      <w:r>
        <w:rPr>
          <w:b/>
        </w:rPr>
        <w:t xml:space="preserve"> Link Road, </w:t>
      </w:r>
      <w:r>
        <w:rPr>
          <w:b/>
        </w:rPr>
        <w:t>Chakala</w:t>
      </w:r>
      <w:r>
        <w:rPr>
          <w:b/>
        </w:rPr>
        <w:t>, Mumbai, Mumbai City, MH -400093, India</w:t>
      </w:r>
    </w:p>
    <w:p>
      <w:pPr>
        <w:pStyle w:val="style0"/>
        <w:spacing w:after="109" w:lineRule="auto" w:line="266"/>
        <w:ind w:left="535"/>
        <w:jc w:val="center"/>
        <w:rPr/>
      </w:pPr>
      <w:r>
        <w:rPr>
          <w:b/>
        </w:rPr>
        <w:t>Email: - contact@indostarcapital.com. CIN Number: - L65100MH2009PLC268160</w:t>
      </w:r>
    </w:p>
    <w:p>
      <w:pPr>
        <w:pStyle w:val="style0"/>
        <w:spacing w:after="104" w:lineRule="auto" w:line="258"/>
        <w:ind w:left="512" w:right="124"/>
        <w:jc w:val="center"/>
        <w:rPr>
          <w:b/>
        </w:rPr>
      </w:pPr>
      <w:r>
        <w:rPr>
          <w:b/>
        </w:rPr>
        <w:t>Contact No.</w:t>
      </w:r>
      <w:r>
        <w:rPr>
          <w:b/>
        </w:rPr>
        <w:t xml:space="preserve">: </w:t>
      </w:r>
      <w:r>
        <w:t>,</w:t>
      </w:r>
      <w:r>
        <w:rPr>
          <w:b/>
        </w:rPr>
        <w:t>Mr</w:t>
      </w:r>
      <w:r>
        <w:rPr>
          <w:b/>
          <w:lang w:val="en-US"/>
        </w:rPr>
        <w:t xml:space="preserve">.Dipan Mankad </w:t>
      </w:r>
      <w:r>
        <w:rPr>
          <w:b/>
        </w:rPr>
        <w:t xml:space="preserve">Mob No- </w:t>
      </w:r>
      <w:r>
        <w:rPr>
          <w:b/>
          <w:lang w:val="en-US"/>
        </w:rPr>
        <w:t>9879206681</w:t>
      </w:r>
    </w:p>
    <w:p>
      <w:pPr>
        <w:pStyle w:val="style0"/>
        <w:spacing w:after="109" w:lineRule="auto" w:line="266"/>
        <w:ind w:left="1440" w:firstLine="0"/>
        <w:jc w:val="left"/>
        <w:rPr/>
      </w:pPr>
      <w:r>
        <w:rPr>
          <w:b/>
          <w:u w:val="single" w:color="000000"/>
        </w:rPr>
        <w:t>TERMS &amp; CONDIITONS OF SALE THROUGH E-AUCTION</w:t>
      </w:r>
    </w:p>
    <w:p>
      <w:pPr>
        <w:pStyle w:val="style0"/>
        <w:spacing w:after="264" w:lineRule="auto" w:line="259"/>
        <w:ind w:left="387" w:right="10"/>
        <w:jc w:val="center"/>
        <w:rPr/>
      </w:pPr>
      <w:r>
        <w:rPr>
          <w:b/>
          <w:u w:val="single" w:color="000000"/>
        </w:rPr>
        <w:t>[See Rule 8(7) of the Security Interest (Enforcement) Rules, 2022]</w:t>
      </w:r>
    </w:p>
    <w:p>
      <w:pPr>
        <w:pStyle w:val="style0"/>
        <w:ind w:left="535" w:right="166"/>
        <w:rPr/>
      </w:pPr>
      <w:r>
        <w:t xml:space="preserve">Pursuant to taking possession of the secured asset mentioned hereunder by the Authorised Officer of </w:t>
      </w:r>
    </w:p>
    <w:p>
      <w:pPr>
        <w:pStyle w:val="style0"/>
        <w:ind w:left="535" w:right="166"/>
        <w:rPr/>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r>
        <w:t>InventON</w:t>
      </w:r>
      <w:r>
        <w:t xml:space="preserve"> Solutions </w:t>
      </w:r>
      <w:r>
        <w:t>Pvt.</w:t>
      </w:r>
      <w:r>
        <w:t xml:space="preserve"> Limited (</w:t>
      </w:r>
      <w:r>
        <w:t>InventON</w:t>
      </w:r>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pPr>
        <w:pStyle w:val="style0"/>
        <w:ind w:left="535" w:right="166"/>
        <w:rPr/>
      </w:pPr>
    </w:p>
    <w:tbl>
      <w:tblPr>
        <w:tblStyle w:val="style4097"/>
        <w:tblW w:w="9436" w:type="dxa"/>
        <w:tblInd w:w="697" w:type="dxa"/>
        <w:tblCellMar>
          <w:left w:w="14" w:type="dxa"/>
        </w:tblCellMar>
        <w:tblLook w:val="04A0" w:firstRow="1" w:lastRow="0" w:firstColumn="1" w:lastColumn="0" w:noHBand="0" w:noVBand="1"/>
      </w:tblPr>
      <w:tblGrid>
        <w:gridCol w:w="2786"/>
        <w:gridCol w:w="2234"/>
        <w:gridCol w:w="1842"/>
        <w:gridCol w:w="1674"/>
        <w:gridCol w:w="957"/>
      </w:tblGrid>
      <w:tr>
        <w:trPr>
          <w:trHeight w:val="274" w:hRule="atLeast"/>
        </w:trPr>
        <w:tc>
          <w:tcPr>
            <w:tcW w:w="2810" w:type="dxa"/>
            <w:vMerge w:val="restart"/>
            <w:tcBorders>
              <w:top w:val="single" w:sz="6" w:space="0" w:color="2b2a29"/>
              <w:left w:val="double" w:sz="6" w:space="0" w:color="2b2a29"/>
              <w:bottom w:val="single" w:sz="6" w:space="0" w:color="2b2a29"/>
              <w:right w:val="single" w:sz="6" w:space="0" w:color="2b2a29"/>
            </w:tcBorders>
            <w:shd w:val="clear" w:color="auto" w:fill="e3e3e3"/>
          </w:tcPr>
          <w:p>
            <w:pPr>
              <w:pStyle w:val="style0"/>
              <w:spacing w:after="0" w:lineRule="auto" w:line="259"/>
              <w:ind w:left="93" w:firstLine="0"/>
              <w:jc w:val="left"/>
              <w:rPr/>
            </w:pPr>
            <w:r>
              <w:rPr>
                <w:b/>
                <w:u w:val="single" w:color="000000"/>
              </w:rPr>
              <w:t>Borrower(s) Details</w:t>
            </w:r>
          </w:p>
        </w:tc>
        <w:tc>
          <w:tcPr>
            <w:tcW w:w="2218" w:type="dxa"/>
            <w:vMerge w:val="restart"/>
            <w:tcBorders>
              <w:top w:val="single" w:sz="6" w:space="0" w:color="2b2a29"/>
              <w:left w:val="single" w:sz="6" w:space="0" w:color="2b2a29"/>
              <w:bottom w:val="single" w:sz="6" w:space="0" w:color="2b2a29"/>
              <w:right w:val="single" w:sz="6" w:space="0" w:color="2b2a29"/>
            </w:tcBorders>
            <w:shd w:val="clear" w:color="auto" w:fill="e3e3e3"/>
          </w:tcPr>
          <w:p>
            <w:pPr>
              <w:pStyle w:val="style0"/>
              <w:spacing w:after="0" w:lineRule="auto" w:line="259"/>
              <w:ind w:left="0" w:firstLine="0"/>
              <w:jc w:val="left"/>
              <w:rPr/>
            </w:pPr>
            <w:r>
              <w:rPr>
                <w:b/>
                <w:u w:val="single" w:color="000000"/>
              </w:rPr>
              <w:t>Date &amp; Amount of13(2) Demand Notice</w:t>
            </w:r>
          </w:p>
        </w:tc>
        <w:tc>
          <w:tcPr>
            <w:tcW w:w="1708" w:type="dxa"/>
            <w:vMerge w:val="restart"/>
            <w:tcBorders>
              <w:top w:val="single" w:sz="6" w:space="0" w:color="2b2a29"/>
              <w:left w:val="single" w:sz="6" w:space="0" w:color="2b2a29"/>
              <w:bottom w:val="single" w:sz="6" w:space="0" w:color="2b2a29"/>
              <w:right w:val="single" w:sz="6" w:space="0" w:color="2b2a29"/>
            </w:tcBorders>
            <w:shd w:val="clear" w:color="auto" w:fill="e3e3e3"/>
          </w:tcPr>
          <w:p>
            <w:pPr>
              <w:pStyle w:val="style0"/>
              <w:spacing w:after="0" w:lineRule="auto" w:line="259"/>
              <w:ind w:left="157" w:firstLine="0"/>
              <w:jc w:val="left"/>
              <w:rPr/>
            </w:pPr>
            <w:r>
              <w:rPr>
                <w:b/>
                <w:u w:val="single" w:color="000000"/>
              </w:rPr>
              <w:t xml:space="preserve">Description </w:t>
            </w:r>
            <w:r>
              <w:rPr>
                <w:b/>
                <w:u w:val="single" w:color="000000"/>
              </w:rPr>
              <w:t>ofProperty</w:t>
            </w:r>
          </w:p>
        </w:tc>
        <w:tc>
          <w:tcPr>
            <w:tcW w:w="1643" w:type="dxa"/>
            <w:tcBorders>
              <w:top w:val="single" w:sz="6" w:space="0" w:color="2b2a29"/>
              <w:left w:val="single" w:sz="6" w:space="0" w:color="2b2a29"/>
              <w:bottom w:val="single" w:sz="2" w:space="0" w:color="2b2a29"/>
              <w:right w:val="single" w:sz="6" w:space="0" w:color="2b2a29"/>
            </w:tcBorders>
            <w:shd w:val="clear" w:color="auto" w:fill="e3e3e3"/>
          </w:tcPr>
          <w:p>
            <w:pPr>
              <w:pStyle w:val="style0"/>
              <w:spacing w:after="0" w:lineRule="auto" w:line="259"/>
              <w:ind w:left="0" w:right="19" w:firstLine="0"/>
              <w:jc w:val="left"/>
              <w:rPr/>
            </w:pPr>
            <w:r>
              <w:rPr>
                <w:b/>
                <w:u w:val="single" w:color="000000"/>
              </w:rPr>
              <w:t>Reserve Price</w:t>
            </w:r>
          </w:p>
        </w:tc>
        <w:tc>
          <w:tcPr>
            <w:tcW w:w="1057" w:type="dxa"/>
            <w:vMerge w:val="restart"/>
            <w:tcBorders>
              <w:top w:val="single" w:sz="6" w:space="0" w:color="2b2a29"/>
              <w:left w:val="single" w:sz="6" w:space="0" w:color="2b2a29"/>
              <w:bottom w:val="single" w:sz="6" w:space="0" w:color="2b2a29"/>
              <w:right w:val="single" w:sz="6" w:space="0" w:color="2b2a29"/>
            </w:tcBorders>
            <w:shd w:val="clear" w:color="auto" w:fill="e3e3e3"/>
          </w:tcPr>
          <w:p>
            <w:pPr>
              <w:pStyle w:val="style0"/>
              <w:spacing w:after="0" w:lineRule="auto" w:line="259"/>
              <w:ind w:left="65" w:firstLine="0"/>
              <w:jc w:val="left"/>
              <w:rPr/>
            </w:pPr>
            <w:r>
              <w:rPr>
                <w:b/>
                <w:u w:val="single" w:color="000000"/>
              </w:rPr>
              <w:t>Date &amp;</w:t>
            </w:r>
          </w:p>
          <w:p>
            <w:pPr>
              <w:pStyle w:val="style0"/>
              <w:spacing w:after="0" w:lineRule="auto" w:line="259"/>
              <w:ind w:left="0" w:firstLine="0"/>
              <w:jc w:val="left"/>
              <w:rPr/>
            </w:pPr>
            <w:r>
              <w:rPr>
                <w:b/>
                <w:u w:val="single" w:color="000000"/>
              </w:rPr>
              <w:t xml:space="preserve">Time of </w:t>
            </w:r>
            <w:r>
              <w:rPr>
                <w:b/>
                <w:u w:val="single" w:color="000000"/>
              </w:rPr>
              <w:t>eAuction</w:t>
            </w:r>
          </w:p>
        </w:tc>
      </w:tr>
      <w:tr>
        <w:tblPrEx/>
        <w:trPr>
          <w:trHeight w:val="276" w:hRule="atLeast"/>
        </w:trPr>
        <w:tc>
          <w:tcPr>
            <w:tcW w:w="2810" w:type="dxa"/>
            <w:vMerge w:val="continue"/>
            <w:tcBorders>
              <w:top w:val="nil"/>
              <w:left w:val="double" w:sz="6" w:space="0" w:color="2b2a29"/>
              <w:bottom w:val="nil"/>
              <w:right w:val="single" w:sz="6" w:space="0" w:color="2b2a29"/>
            </w:tcBorders>
          </w:tcPr>
          <w:p>
            <w:pPr>
              <w:pStyle w:val="style0"/>
              <w:spacing w:after="160" w:lineRule="auto" w:line="259"/>
              <w:ind w:left="0" w:firstLine="0"/>
              <w:jc w:val="left"/>
              <w:rPr/>
            </w:pPr>
          </w:p>
        </w:tc>
        <w:tc>
          <w:tcPr>
            <w:tcW w:w="2218"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c>
          <w:tcPr>
            <w:tcW w:w="1708"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c>
          <w:tcPr>
            <w:tcW w:w="1643" w:type="dxa"/>
            <w:tcBorders>
              <w:top w:val="single" w:sz="2" w:space="0" w:color="2b2a29"/>
              <w:left w:val="single" w:sz="6" w:space="0" w:color="2b2a29"/>
              <w:bottom w:val="single" w:sz="2" w:space="0" w:color="2b2a29"/>
              <w:right w:val="single" w:sz="6" w:space="0" w:color="2b2a29"/>
            </w:tcBorders>
            <w:shd w:val="clear" w:color="auto" w:fill="e3e3e3"/>
          </w:tcPr>
          <w:p>
            <w:pPr>
              <w:pStyle w:val="style0"/>
              <w:spacing w:after="0" w:lineRule="auto" w:line="259"/>
              <w:ind w:left="0" w:right="17" w:firstLine="0"/>
              <w:jc w:val="left"/>
              <w:rPr/>
            </w:pPr>
            <w:r>
              <w:rPr>
                <w:b/>
                <w:u w:val="single" w:color="000000"/>
              </w:rPr>
              <w:t>EMD</w:t>
            </w:r>
          </w:p>
        </w:tc>
        <w:tc>
          <w:tcPr>
            <w:tcW w:w="1057"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r>
      <w:tr>
        <w:tblPrEx/>
        <w:trPr>
          <w:trHeight w:val="533" w:hRule="atLeast"/>
        </w:trPr>
        <w:tc>
          <w:tcPr>
            <w:tcW w:w="2810" w:type="dxa"/>
            <w:vMerge w:val="continue"/>
            <w:tcBorders>
              <w:top w:val="nil"/>
              <w:left w:val="double" w:sz="6" w:space="0" w:color="2b2a29"/>
              <w:bottom w:val="single" w:sz="6" w:space="0" w:color="2b2a29"/>
              <w:right w:val="single" w:sz="6" w:space="0" w:color="2b2a29"/>
            </w:tcBorders>
          </w:tcPr>
          <w:p>
            <w:pPr>
              <w:pStyle w:val="style0"/>
              <w:spacing w:after="160" w:lineRule="auto" w:line="259"/>
              <w:ind w:left="0" w:firstLine="0"/>
              <w:jc w:val="left"/>
              <w:rPr/>
            </w:pPr>
          </w:p>
        </w:tc>
        <w:tc>
          <w:tcPr>
            <w:tcW w:w="2218" w:type="dxa"/>
            <w:vMerge w:val="continue"/>
            <w:tcBorders>
              <w:top w:val="nil"/>
              <w:left w:val="single" w:sz="6" w:space="0" w:color="2b2a29"/>
              <w:bottom w:val="single" w:sz="6" w:space="0" w:color="2b2a29"/>
              <w:right w:val="single" w:sz="6" w:space="0" w:color="2b2a29"/>
            </w:tcBorders>
          </w:tcPr>
          <w:p>
            <w:pPr>
              <w:pStyle w:val="style0"/>
              <w:spacing w:after="160" w:lineRule="auto" w:line="259"/>
              <w:ind w:left="0" w:firstLine="0"/>
              <w:jc w:val="left"/>
              <w:rPr/>
            </w:pPr>
          </w:p>
        </w:tc>
        <w:tc>
          <w:tcPr>
            <w:tcW w:w="1708" w:type="dxa"/>
            <w:vMerge w:val="continue"/>
            <w:tcBorders>
              <w:top w:val="nil"/>
              <w:left w:val="single" w:sz="6" w:space="0" w:color="2b2a29"/>
              <w:bottom w:val="single" w:sz="6" w:space="0" w:color="2b2a29"/>
              <w:right w:val="single" w:sz="6" w:space="0" w:color="2b2a29"/>
            </w:tcBorders>
          </w:tcPr>
          <w:p>
            <w:pPr>
              <w:pStyle w:val="style0"/>
              <w:spacing w:after="160" w:lineRule="auto" w:line="259"/>
              <w:ind w:left="0" w:firstLine="0"/>
              <w:jc w:val="left"/>
              <w:rPr/>
            </w:pPr>
          </w:p>
        </w:tc>
        <w:tc>
          <w:tcPr>
            <w:tcW w:w="1643" w:type="dxa"/>
            <w:tcBorders>
              <w:top w:val="single" w:sz="2" w:space="0" w:color="2b2a29"/>
              <w:left w:val="single" w:sz="6" w:space="0" w:color="2b2a29"/>
              <w:bottom w:val="single" w:sz="6" w:space="0" w:color="2b2a29"/>
              <w:right w:val="single" w:sz="6" w:space="0" w:color="2b2a29"/>
            </w:tcBorders>
            <w:shd w:val="clear" w:color="auto" w:fill="e3e3e3"/>
          </w:tcPr>
          <w:p>
            <w:pPr>
              <w:pStyle w:val="style0"/>
              <w:spacing w:after="0" w:lineRule="auto" w:line="259"/>
              <w:ind w:left="0" w:firstLine="0"/>
              <w:jc w:val="left"/>
              <w:rPr/>
            </w:pPr>
            <w:r>
              <w:rPr>
                <w:b/>
                <w:u w:val="single" w:color="000000"/>
              </w:rPr>
              <w:t xml:space="preserve">Bid </w:t>
            </w:r>
            <w:r>
              <w:rPr>
                <w:b/>
                <w:u w:val="single" w:color="000000"/>
              </w:rPr>
              <w:t>IncreaseAmount</w:t>
            </w:r>
          </w:p>
        </w:tc>
        <w:tc>
          <w:tcPr>
            <w:tcW w:w="1057" w:type="dxa"/>
            <w:vMerge w:val="continue"/>
            <w:tcBorders>
              <w:top w:val="nil"/>
              <w:left w:val="single" w:sz="6" w:space="0" w:color="2b2a29"/>
              <w:bottom w:val="single" w:sz="6" w:space="0" w:color="2b2a29"/>
              <w:right w:val="single" w:sz="6" w:space="0" w:color="2b2a29"/>
            </w:tcBorders>
          </w:tcPr>
          <w:p>
            <w:pPr>
              <w:pStyle w:val="style0"/>
              <w:spacing w:after="160" w:lineRule="auto" w:line="259"/>
              <w:ind w:left="0" w:firstLine="0"/>
              <w:jc w:val="left"/>
              <w:rPr/>
            </w:pPr>
          </w:p>
        </w:tc>
      </w:tr>
      <w:tr>
        <w:tblPrEx/>
        <w:trPr>
          <w:trHeight w:val="288" w:hRule="atLeast"/>
        </w:trPr>
        <w:tc>
          <w:tcPr>
            <w:tcW w:w="2810" w:type="dxa"/>
            <w:vMerge w:val="restart"/>
            <w:tcBorders>
              <w:top w:val="single" w:sz="6" w:space="0" w:color="2b2a29"/>
              <w:left w:val="double" w:sz="6" w:space="0" w:color="2b2a29"/>
              <w:bottom w:val="single" w:sz="6" w:space="0" w:color="2b2a29"/>
              <w:right w:val="single" w:sz="6" w:space="0" w:color="2b2a29"/>
            </w:tcBorders>
          </w:tcPr>
          <w:p>
            <w:pPr>
              <w:pStyle w:val="style0"/>
              <w:spacing w:after="0" w:lineRule="auto" w:line="238"/>
              <w:ind w:left="165" w:right="219" w:firstLine="0"/>
              <w:jc w:val="left"/>
              <w:rPr>
                <w:rFonts w:cs="Calibri"/>
                <w:b/>
              </w:rPr>
            </w:pPr>
            <w:r>
              <w:rPr>
                <w:rFonts w:cs="Calibri"/>
                <w:b/>
              </w:rPr>
              <w:t>LAN-</w:t>
            </w:r>
            <w:r>
              <w:rPr>
                <w:rFonts w:cs="Calibri"/>
                <w:b/>
              </w:rPr>
              <w:t>LSSUR05617180002338 &amp; LSSUR13921220005397</w:t>
            </w:r>
          </w:p>
          <w:p>
            <w:pPr>
              <w:pStyle w:val="style0"/>
              <w:spacing w:after="0" w:lineRule="auto" w:line="238"/>
              <w:ind w:left="165" w:right="219" w:firstLine="0"/>
              <w:jc w:val="left"/>
              <w:rPr/>
            </w:pPr>
            <w:r>
              <w:rPr>
                <w:b/>
              </w:rPr>
              <w:t xml:space="preserve">Branch: </w:t>
            </w:r>
            <w:r>
              <w:rPr>
                <w:b/>
              </w:rPr>
              <w:t>SURAT</w:t>
            </w:r>
          </w:p>
          <w:p>
            <w:pPr>
              <w:pStyle w:val="style0"/>
              <w:spacing w:after="0" w:lineRule="auto" w:line="239"/>
              <w:ind w:left="165" w:right="326" w:firstLine="0"/>
              <w:jc w:val="left"/>
              <w:rPr/>
            </w:pPr>
            <w:r>
              <w:rPr>
                <w:b/>
              </w:rPr>
              <w:t xml:space="preserve">Borrower: </w:t>
            </w:r>
          </w:p>
          <w:p>
            <w:pPr>
              <w:pStyle w:val="style0"/>
              <w:spacing w:after="0" w:lineRule="auto" w:line="239"/>
              <w:ind w:left="165" w:right="326" w:firstLine="0"/>
              <w:jc w:val="left"/>
              <w:rPr/>
            </w:pPr>
            <w:r>
              <w:t>1.</w:t>
            </w:r>
            <w:r>
              <w:rPr>
                <w:bCs/>
                <w:sz w:val="20"/>
                <w:szCs w:val="20"/>
              </w:rPr>
              <w:t>MR. PATEL ATULKUMAR AMRUTLAL</w:t>
            </w:r>
          </w:p>
          <w:p>
            <w:pPr>
              <w:pStyle w:val="style0"/>
              <w:spacing w:after="0" w:lineRule="auto" w:line="259"/>
              <w:ind w:left="0" w:right="4" w:firstLine="0"/>
              <w:jc w:val="left"/>
              <w:rPr/>
            </w:pPr>
          </w:p>
          <w:p>
            <w:pPr>
              <w:pStyle w:val="style0"/>
              <w:spacing w:after="0" w:lineRule="auto" w:line="259"/>
              <w:ind w:left="0" w:right="4" w:firstLine="0"/>
              <w:jc w:val="left"/>
              <w:rPr/>
            </w:pPr>
            <w:r>
              <w:rPr>
                <w:b/>
              </w:rPr>
              <w:t xml:space="preserve">Co-Borrower: </w:t>
            </w:r>
          </w:p>
          <w:p>
            <w:pPr>
              <w:pStyle w:val="style0"/>
              <w:numPr>
                <w:ilvl w:val="0"/>
                <w:numId w:val="1"/>
              </w:numPr>
              <w:spacing w:after="0" w:lineRule="auto" w:line="240"/>
              <w:jc w:val="left"/>
              <w:rPr>
                <w:bCs/>
                <w:sz w:val="20"/>
                <w:szCs w:val="20"/>
              </w:rPr>
            </w:pPr>
            <w:r>
              <w:rPr>
                <w:bCs/>
                <w:sz w:val="20"/>
                <w:szCs w:val="20"/>
              </w:rPr>
              <w:t>MRS PATEL DAXABEN A</w:t>
            </w:r>
          </w:p>
          <w:p>
            <w:pPr>
              <w:pStyle w:val="style0"/>
              <w:numPr>
                <w:ilvl w:val="0"/>
                <w:numId w:val="1"/>
              </w:numPr>
              <w:spacing w:after="0" w:lineRule="auto" w:line="240"/>
              <w:jc w:val="left"/>
              <w:rPr>
                <w:bCs/>
                <w:sz w:val="20"/>
                <w:szCs w:val="20"/>
              </w:rPr>
            </w:pPr>
            <w:r>
              <w:rPr>
                <w:bCs/>
                <w:sz w:val="20"/>
                <w:szCs w:val="20"/>
              </w:rPr>
              <w:t xml:space="preserve">MR. AMRUTBHAI HARGOVANDAS PATEL </w:t>
            </w:r>
          </w:p>
          <w:p>
            <w:pPr>
              <w:pStyle w:val="style0"/>
              <w:numPr>
                <w:ilvl w:val="0"/>
                <w:numId w:val="1"/>
              </w:numPr>
              <w:spacing w:after="0" w:lineRule="auto" w:line="240"/>
              <w:jc w:val="left"/>
              <w:rPr>
                <w:bCs/>
                <w:sz w:val="20"/>
                <w:szCs w:val="20"/>
              </w:rPr>
            </w:pPr>
            <w:r>
              <w:rPr>
                <w:bCs/>
                <w:sz w:val="20"/>
                <w:szCs w:val="20"/>
              </w:rPr>
              <w:t>MR. PATEL HARESHKUMAR AMRUTLAL</w:t>
            </w:r>
          </w:p>
          <w:p>
            <w:pPr>
              <w:pStyle w:val="style0"/>
              <w:numPr>
                <w:ilvl w:val="0"/>
                <w:numId w:val="1"/>
              </w:numPr>
              <w:tabs>
                <w:tab w:val="left" w:leader="none" w:pos="312"/>
              </w:tabs>
              <w:spacing w:after="0" w:lineRule="auto" w:line="240"/>
              <w:jc w:val="left"/>
              <w:rPr>
                <w:bCs/>
                <w:sz w:val="20"/>
                <w:szCs w:val="20"/>
              </w:rPr>
            </w:pPr>
            <w:r>
              <w:rPr>
                <w:bCs/>
                <w:sz w:val="20"/>
                <w:szCs w:val="20"/>
              </w:rPr>
              <w:t>M/S MAHALAXMI RUBBER INDUSTRIES</w:t>
            </w:r>
          </w:p>
          <w:p>
            <w:pPr>
              <w:pStyle w:val="style179"/>
              <w:spacing w:after="0" w:lineRule="auto" w:line="259"/>
              <w:ind w:left="488" w:firstLine="0"/>
              <w:jc w:val="left"/>
              <w:rPr/>
            </w:pPr>
          </w:p>
        </w:tc>
        <w:tc>
          <w:tcPr>
            <w:tcW w:w="2218" w:type="dxa"/>
            <w:vMerge w:val="restart"/>
            <w:tcBorders>
              <w:top w:val="single" w:sz="6" w:space="0" w:color="2b2a29"/>
              <w:left w:val="single" w:sz="6" w:space="0" w:color="2b2a29"/>
              <w:bottom w:val="single" w:sz="6" w:space="0" w:color="2b2a29"/>
              <w:right w:val="single" w:sz="6" w:space="0" w:color="2b2a29"/>
            </w:tcBorders>
          </w:tcPr>
          <w:p>
            <w:pPr>
              <w:pStyle w:val="style0"/>
              <w:spacing w:after="0" w:lineRule="auto" w:line="259"/>
              <w:ind w:left="118" w:firstLine="0"/>
              <w:jc w:val="left"/>
              <w:rPr>
                <w:b/>
                <w:bCs/>
              </w:rPr>
            </w:pPr>
            <w:r>
              <w:rPr>
                <w:b/>
                <w:bCs/>
              </w:rPr>
              <w:t>Date: - 17-08-2022</w:t>
            </w:r>
          </w:p>
          <w:p>
            <w:pPr>
              <w:pStyle w:val="style0"/>
              <w:spacing w:after="0"/>
              <w:ind w:left="214"/>
              <w:rPr>
                <w:bCs/>
              </w:rPr>
            </w:pPr>
            <w:r>
              <w:rPr>
                <w:b/>
              </w:rPr>
              <w:t>Rs.3,18,71,772/</w:t>
            </w:r>
            <w:r>
              <w:rPr>
                <w:b/>
              </w:rPr>
              <w:t>-</w:t>
            </w:r>
            <w:r>
              <w:rPr>
                <w:bCs/>
              </w:rPr>
              <w:t>(</w:t>
            </w:r>
            <w:r>
              <w:t xml:space="preserve">Rupees Three </w:t>
            </w:r>
            <w:r>
              <w:t>Crore</w:t>
            </w:r>
            <w:r>
              <w:t xml:space="preserve"> Eighteen Lakh Seventy-One Thousand Seven Hundred Seventy-Two Only</w:t>
            </w:r>
            <w:r>
              <w:rPr>
                <w:bCs/>
              </w:rPr>
              <w:t>)&amp;</w:t>
            </w:r>
            <w:r>
              <w:rPr>
                <w:b/>
              </w:rPr>
              <w:t xml:space="preserve">Rs.22,95,150/- </w:t>
            </w:r>
            <w:r>
              <w:rPr>
                <w:bCs/>
              </w:rPr>
              <w:t>(Rupees Twenty-Two Lakhs Ninety-Five Thousand One Hundred Fifty Only)</w:t>
            </w:r>
          </w:p>
          <w:p>
            <w:pPr>
              <w:pStyle w:val="style0"/>
              <w:spacing w:after="0" w:lineRule="auto" w:line="259"/>
              <w:ind w:left="118" w:firstLine="86"/>
              <w:jc w:val="left"/>
              <w:rPr/>
            </w:pPr>
            <w:r>
              <w:t>along</w:t>
            </w:r>
            <w:r>
              <w:t xml:space="preserve"> with further interest and charges until payment.</w:t>
            </w:r>
          </w:p>
        </w:tc>
        <w:tc>
          <w:tcPr>
            <w:tcW w:w="1708" w:type="dxa"/>
            <w:vMerge w:val="restart"/>
            <w:tcBorders>
              <w:top w:val="single" w:sz="6" w:space="0" w:color="2b2a29"/>
              <w:left w:val="single" w:sz="6" w:space="0" w:color="2b2a29"/>
              <w:bottom w:val="single" w:sz="6" w:space="0" w:color="2b2a29"/>
              <w:right w:val="single" w:sz="6" w:space="0" w:color="2b2a29"/>
            </w:tcBorders>
          </w:tcPr>
          <w:p>
            <w:pPr>
              <w:pStyle w:val="style0"/>
              <w:spacing w:after="20" w:lineRule="auto" w:line="259"/>
              <w:ind w:left="104" w:firstLine="0"/>
              <w:jc w:val="left"/>
              <w:rPr/>
            </w:pPr>
            <w:r>
              <w:rPr>
                <w:b/>
              </w:rPr>
              <w:t xml:space="preserve">Property Bearing: - </w:t>
            </w:r>
          </w:p>
          <w:p>
            <w:pPr>
              <w:pStyle w:val="style0"/>
              <w:spacing w:after="0" w:lineRule="auto" w:line="259"/>
              <w:ind w:left="90" w:hanging="52"/>
              <w:jc w:val="left"/>
              <w:rPr/>
            </w:pPr>
            <w:r>
              <w:t>All that “</w:t>
            </w:r>
            <w:r>
              <w:rPr>
                <w:sz w:val="20"/>
                <w:szCs w:val="20"/>
              </w:rPr>
              <w:t xml:space="preserve">Plot No C-17, New </w:t>
            </w:r>
            <w:r>
              <w:rPr>
                <w:sz w:val="20"/>
                <w:szCs w:val="20"/>
              </w:rPr>
              <w:t>PushpakunjSoceity</w:t>
            </w:r>
            <w:r>
              <w:rPr>
                <w:sz w:val="20"/>
                <w:szCs w:val="20"/>
              </w:rPr>
              <w:t xml:space="preserve">, R.S No 545 T.P.S No 3, F.P No 16, Near </w:t>
            </w:r>
            <w:r>
              <w:rPr>
                <w:sz w:val="20"/>
                <w:szCs w:val="20"/>
              </w:rPr>
              <w:t>Bada</w:t>
            </w:r>
            <w:r>
              <w:rPr>
                <w:sz w:val="20"/>
                <w:szCs w:val="20"/>
              </w:rPr>
              <w:t xml:space="preserve"> Ganesh Temple, </w:t>
            </w:r>
            <w:r>
              <w:rPr>
                <w:sz w:val="20"/>
                <w:szCs w:val="20"/>
              </w:rPr>
              <w:t>Sumul</w:t>
            </w:r>
            <w:r>
              <w:rPr>
                <w:sz w:val="20"/>
                <w:szCs w:val="20"/>
              </w:rPr>
              <w:t xml:space="preserve"> Dairy Road, </w:t>
            </w:r>
            <w:r>
              <w:rPr>
                <w:sz w:val="20"/>
                <w:szCs w:val="20"/>
              </w:rPr>
              <w:t>Kathargam</w:t>
            </w:r>
            <w:r>
              <w:rPr>
                <w:sz w:val="20"/>
                <w:szCs w:val="20"/>
              </w:rPr>
              <w:t>, Surat-395008</w:t>
            </w:r>
          </w:p>
          <w:p>
            <w:pPr>
              <w:pStyle w:val="style0"/>
              <w:spacing w:after="0" w:lineRule="auto" w:line="259"/>
              <w:ind w:left="0" w:right="16" w:firstLine="0"/>
              <w:jc w:val="left"/>
              <w:rPr/>
            </w:pPr>
            <w:r>
              <w:rPr>
                <w:b/>
              </w:rPr>
              <w:t>Four Boundaries: -</w:t>
            </w:r>
            <w:r>
              <w:rPr>
                <w:b/>
                <w:bCs/>
              </w:rPr>
              <w:t xml:space="preserve">North- </w:t>
            </w:r>
            <w:r>
              <w:t>Society Road &amp; Plot No-14</w:t>
            </w:r>
          </w:p>
          <w:p>
            <w:pPr>
              <w:pStyle w:val="style0"/>
              <w:spacing w:after="0" w:lineRule="auto" w:line="259"/>
              <w:ind w:left="0" w:firstLine="0"/>
              <w:jc w:val="left"/>
              <w:rPr>
                <w:bCs/>
              </w:rPr>
            </w:pPr>
            <w:r>
              <w:rPr>
                <w:b/>
                <w:bCs/>
              </w:rPr>
              <w:t xml:space="preserve">South- </w:t>
            </w:r>
            <w:r>
              <w:t>Plot No-</w:t>
            </w:r>
            <w:r>
              <w:t>18</w:t>
            </w:r>
            <w:r>
              <w:rPr>
                <w:b/>
              </w:rPr>
              <w:t xml:space="preserve">East: </w:t>
            </w:r>
            <w:r>
              <w:t>Boundary of Society</w:t>
            </w:r>
            <w:r>
              <w:tab/>
            </w:r>
          </w:p>
          <w:p>
            <w:pPr>
              <w:pStyle w:val="style0"/>
              <w:spacing w:after="0" w:lineRule="auto" w:line="259"/>
              <w:ind w:left="0" w:firstLine="0"/>
              <w:jc w:val="left"/>
              <w:rPr/>
            </w:pPr>
            <w:r>
              <w:rPr>
                <w:b/>
              </w:rPr>
              <w:t xml:space="preserve">West: </w:t>
            </w:r>
            <w:r>
              <w:rPr>
                <w:bCs/>
              </w:rPr>
              <w:t>Plot No 16</w:t>
            </w:r>
          </w:p>
        </w:tc>
        <w:tc>
          <w:tcPr>
            <w:tcW w:w="1643" w:type="dxa"/>
            <w:tcBorders>
              <w:top w:val="single" w:sz="6" w:space="0" w:color="2b2a29"/>
              <w:left w:val="single" w:sz="6" w:space="0" w:color="2b2a29"/>
              <w:bottom w:val="single" w:sz="4" w:space="0" w:color="000000"/>
              <w:right w:val="single" w:sz="6" w:space="0" w:color="2b2a29"/>
            </w:tcBorders>
          </w:tcPr>
          <w:p>
            <w:pPr>
              <w:pStyle w:val="style0"/>
              <w:spacing w:after="0" w:lineRule="auto" w:line="259"/>
              <w:ind w:left="137" w:firstLine="0"/>
              <w:rPr>
                <w:highlight w:val="yellow"/>
              </w:rPr>
            </w:pPr>
            <w:r>
              <w:rPr>
                <w:b/>
              </w:rPr>
              <w:t xml:space="preserve"> </w:t>
            </w:r>
            <w:r>
              <w:rPr>
                <w:b/>
              </w:rPr>
              <w:t>Rs</w:t>
            </w:r>
            <w:r>
              <w:rPr>
                <w:b/>
              </w:rPr>
              <w:t xml:space="preserve">. </w:t>
            </w:r>
            <w:r>
              <w:rPr>
                <w:b/>
              </w:rPr>
              <w:t>2</w:t>
            </w:r>
            <w:r>
              <w:rPr>
                <w:b/>
              </w:rPr>
              <w:t>,</w:t>
            </w:r>
            <w:r>
              <w:rPr>
                <w:b/>
              </w:rPr>
              <w:t>92</w:t>
            </w:r>
            <w:r>
              <w:rPr>
                <w:b/>
              </w:rPr>
              <w:t>,</w:t>
            </w:r>
            <w:r>
              <w:rPr>
                <w:b/>
              </w:rPr>
              <w:t>32</w:t>
            </w:r>
            <w:r>
              <w:rPr>
                <w:b/>
              </w:rPr>
              <w:t>,</w:t>
            </w:r>
            <w:r>
              <w:rPr>
                <w:b/>
              </w:rPr>
              <w:t>500</w:t>
            </w:r>
          </w:p>
        </w:tc>
        <w:tc>
          <w:tcPr>
            <w:tcW w:w="1057" w:type="dxa"/>
            <w:vMerge w:val="restart"/>
            <w:tcBorders>
              <w:top w:val="single" w:sz="6" w:space="0" w:color="2b2a29"/>
              <w:left w:val="single" w:sz="6" w:space="0" w:color="2b2a29"/>
              <w:bottom w:val="single" w:sz="6" w:space="0" w:color="2b2a29"/>
              <w:right w:val="single" w:sz="6" w:space="0" w:color="2b2a29"/>
            </w:tcBorders>
          </w:tcPr>
          <w:p>
            <w:pPr>
              <w:pStyle w:val="style0"/>
              <w:spacing w:after="0" w:lineRule="auto" w:line="259"/>
              <w:ind w:left="45" w:firstLine="0"/>
              <w:jc w:val="left"/>
              <w:rPr/>
            </w:pPr>
          </w:p>
          <w:p>
            <w:pPr>
              <w:pStyle w:val="style0"/>
              <w:spacing w:after="0" w:lineRule="auto" w:line="259"/>
              <w:ind w:left="0" w:right="4" w:firstLine="0"/>
              <w:jc w:val="left"/>
              <w:rPr>
                <w:b/>
              </w:rPr>
            </w:pPr>
            <w:r>
              <w:rPr>
                <w:b/>
              </w:rPr>
              <w:t>22</w:t>
            </w:r>
            <w:r>
              <w:rPr>
                <w:b/>
                <w:vertAlign w:val="superscript"/>
              </w:rPr>
              <w:t>ND</w:t>
            </w:r>
            <w:r>
              <w:rPr>
                <w:b/>
              </w:rPr>
              <w:t xml:space="preserve"> July 2023</w:t>
            </w:r>
          </w:p>
          <w:p>
            <w:pPr>
              <w:pStyle w:val="style0"/>
              <w:spacing w:after="0" w:lineRule="auto" w:line="259"/>
              <w:ind w:left="0" w:right="4" w:firstLine="0"/>
              <w:jc w:val="left"/>
              <w:rPr>
                <w:b/>
              </w:rPr>
            </w:pPr>
          </w:p>
          <w:p>
            <w:pPr>
              <w:pStyle w:val="style0"/>
              <w:spacing w:after="0" w:lineRule="auto" w:line="259"/>
              <w:ind w:left="0" w:right="4" w:firstLine="0"/>
              <w:jc w:val="left"/>
              <w:rPr>
                <w:b/>
              </w:rPr>
            </w:pPr>
          </w:p>
          <w:p>
            <w:pPr>
              <w:pStyle w:val="style0"/>
              <w:spacing w:after="0" w:lineRule="auto" w:line="259"/>
              <w:ind w:left="0" w:right="4" w:firstLine="0"/>
              <w:jc w:val="left"/>
              <w:rPr/>
            </w:pPr>
            <w:r>
              <w:rPr>
                <w:b/>
              </w:rPr>
              <w:t xml:space="preserve">Time: </w:t>
            </w:r>
          </w:p>
          <w:p>
            <w:pPr>
              <w:pStyle w:val="style0"/>
              <w:spacing w:after="0" w:lineRule="auto" w:line="259"/>
              <w:ind w:left="178" w:firstLine="0"/>
              <w:jc w:val="left"/>
              <w:rPr/>
            </w:pPr>
            <w:r>
              <w:rPr>
                <w:b/>
              </w:rPr>
              <w:t xml:space="preserve">10.30 AM </w:t>
            </w:r>
          </w:p>
          <w:p>
            <w:pPr>
              <w:pStyle w:val="style0"/>
              <w:spacing w:after="0" w:lineRule="auto" w:line="259"/>
              <w:ind w:left="45" w:firstLine="0"/>
              <w:jc w:val="left"/>
              <w:rPr/>
            </w:pPr>
            <w:r>
              <w:rPr>
                <w:b/>
              </w:rPr>
              <w:t xml:space="preserve">to </w:t>
            </w:r>
          </w:p>
          <w:p>
            <w:pPr>
              <w:pStyle w:val="style0"/>
              <w:spacing w:after="2" w:lineRule="auto" w:line="236"/>
              <w:ind w:left="0" w:firstLine="0"/>
              <w:jc w:val="left"/>
              <w:rPr/>
            </w:pPr>
            <w:r>
              <w:rPr>
                <w:b/>
              </w:rPr>
              <w:t xml:space="preserve">11.30 AM with </w:t>
            </w:r>
          </w:p>
          <w:p>
            <w:pPr>
              <w:pStyle w:val="style0"/>
              <w:spacing w:after="0" w:lineRule="auto" w:line="259"/>
              <w:ind w:left="137" w:firstLine="0"/>
              <w:jc w:val="left"/>
              <w:rPr/>
            </w:pPr>
            <w:r>
              <w:rPr>
                <w:b/>
              </w:rPr>
              <w:t xml:space="preserve">unlimited </w:t>
            </w:r>
          </w:p>
          <w:p>
            <w:pPr>
              <w:pStyle w:val="style0"/>
              <w:spacing w:after="0" w:lineRule="auto" w:line="259"/>
              <w:ind w:left="31" w:firstLine="0"/>
              <w:jc w:val="left"/>
              <w:rPr/>
            </w:pPr>
            <w:r>
              <w:rPr>
                <w:b/>
              </w:rPr>
              <w:t>extension of</w:t>
            </w:r>
          </w:p>
          <w:p>
            <w:pPr>
              <w:pStyle w:val="style0"/>
              <w:spacing w:after="0" w:lineRule="auto" w:line="259"/>
              <w:ind w:left="137" w:firstLine="0"/>
              <w:jc w:val="left"/>
              <w:rPr/>
            </w:pPr>
            <w:r>
              <w:rPr>
                <w:b/>
              </w:rPr>
              <w:t xml:space="preserve">5 minutes </w:t>
            </w:r>
          </w:p>
        </w:tc>
      </w:tr>
      <w:tr>
        <w:tblPrEx/>
        <w:trPr>
          <w:trHeight w:val="262" w:hRule="atLeast"/>
        </w:trPr>
        <w:tc>
          <w:tcPr>
            <w:tcW w:w="2810" w:type="dxa"/>
            <w:vMerge w:val="continue"/>
            <w:tcBorders>
              <w:top w:val="nil"/>
              <w:left w:val="double" w:sz="6" w:space="0" w:color="2b2a29"/>
              <w:bottom w:val="nil"/>
              <w:right w:val="single" w:sz="6" w:space="0" w:color="2b2a29"/>
            </w:tcBorders>
          </w:tcPr>
          <w:p>
            <w:pPr>
              <w:pStyle w:val="style0"/>
              <w:spacing w:after="160" w:lineRule="auto" w:line="259"/>
              <w:ind w:left="0" w:firstLine="0"/>
              <w:jc w:val="left"/>
              <w:rPr/>
            </w:pPr>
          </w:p>
        </w:tc>
        <w:tc>
          <w:tcPr>
            <w:tcW w:w="2218"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c>
          <w:tcPr>
            <w:tcW w:w="1708"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c>
          <w:tcPr>
            <w:tcW w:w="1643" w:type="dxa"/>
            <w:tcBorders>
              <w:top w:val="single" w:sz="4" w:space="0" w:color="000000"/>
              <w:left w:val="single" w:sz="6" w:space="0" w:color="2b2a29"/>
              <w:bottom w:val="single" w:sz="4" w:space="0" w:color="000000"/>
              <w:right w:val="single" w:sz="6" w:space="0" w:color="2b2a29"/>
            </w:tcBorders>
          </w:tcPr>
          <w:p>
            <w:pPr>
              <w:pStyle w:val="style0"/>
              <w:spacing w:after="0" w:lineRule="auto" w:line="259"/>
              <w:ind w:left="0" w:right="116" w:firstLine="0"/>
              <w:rPr/>
            </w:pPr>
            <w:r>
              <w:rPr>
                <w:b/>
              </w:rPr>
              <w:t xml:space="preserve">    Rs.2</w:t>
            </w:r>
            <w:r>
              <w:rPr>
                <w:b/>
              </w:rPr>
              <w:t>9</w:t>
            </w:r>
            <w:r>
              <w:rPr>
                <w:b/>
              </w:rPr>
              <w:t>,</w:t>
            </w:r>
            <w:r>
              <w:rPr>
                <w:b/>
              </w:rPr>
              <w:t>23</w:t>
            </w:r>
            <w:r>
              <w:rPr>
                <w:b/>
              </w:rPr>
              <w:t>,</w:t>
            </w:r>
            <w:r>
              <w:rPr>
                <w:b/>
              </w:rPr>
              <w:t>2</w:t>
            </w:r>
            <w:r>
              <w:rPr>
                <w:b/>
              </w:rPr>
              <w:t>50</w:t>
            </w:r>
          </w:p>
        </w:tc>
        <w:tc>
          <w:tcPr>
            <w:tcW w:w="1057"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r>
      <w:tr>
        <w:tblPrEx/>
        <w:trPr>
          <w:trHeight w:val="264" w:hRule="atLeast"/>
        </w:trPr>
        <w:tc>
          <w:tcPr>
            <w:tcW w:w="2810" w:type="dxa"/>
            <w:vMerge w:val="continue"/>
            <w:tcBorders>
              <w:top w:val="nil"/>
              <w:left w:val="double" w:sz="6" w:space="0" w:color="2b2a29"/>
              <w:bottom w:val="nil"/>
              <w:right w:val="single" w:sz="6" w:space="0" w:color="2b2a29"/>
            </w:tcBorders>
          </w:tcPr>
          <w:p>
            <w:pPr>
              <w:pStyle w:val="style0"/>
              <w:spacing w:after="160" w:lineRule="auto" w:line="259"/>
              <w:ind w:left="0" w:firstLine="0"/>
              <w:jc w:val="left"/>
              <w:rPr/>
            </w:pPr>
          </w:p>
        </w:tc>
        <w:tc>
          <w:tcPr>
            <w:tcW w:w="2218"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c>
          <w:tcPr>
            <w:tcW w:w="1708"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c>
          <w:tcPr>
            <w:tcW w:w="1643" w:type="dxa"/>
            <w:tcBorders>
              <w:top w:val="single" w:sz="4" w:space="0" w:color="000000"/>
              <w:left w:val="single" w:sz="6" w:space="0" w:color="2b2a29"/>
              <w:bottom w:val="single" w:sz="4" w:space="0" w:color="000000"/>
              <w:right w:val="single" w:sz="6" w:space="0" w:color="2b2a29"/>
            </w:tcBorders>
          </w:tcPr>
          <w:p>
            <w:pPr>
              <w:pStyle w:val="style0"/>
              <w:spacing w:after="0" w:lineRule="auto" w:line="259"/>
              <w:ind w:left="0" w:firstLine="0"/>
              <w:rPr/>
            </w:pPr>
            <w:r>
              <w:rPr>
                <w:b/>
              </w:rPr>
              <w:t xml:space="preserve">    Rs.10,000/-</w:t>
            </w:r>
          </w:p>
        </w:tc>
        <w:tc>
          <w:tcPr>
            <w:tcW w:w="1057" w:type="dxa"/>
            <w:vMerge w:val="continue"/>
            <w:tcBorders>
              <w:top w:val="nil"/>
              <w:left w:val="single" w:sz="6" w:space="0" w:color="2b2a29"/>
              <w:bottom w:val="nil"/>
              <w:right w:val="single" w:sz="6" w:space="0" w:color="2b2a29"/>
            </w:tcBorders>
          </w:tcPr>
          <w:p>
            <w:pPr>
              <w:pStyle w:val="style0"/>
              <w:spacing w:after="160" w:lineRule="auto" w:line="259"/>
              <w:ind w:left="0" w:firstLine="0"/>
              <w:jc w:val="left"/>
              <w:rPr/>
            </w:pPr>
          </w:p>
        </w:tc>
      </w:tr>
      <w:tr>
        <w:tblPrEx/>
        <w:trPr>
          <w:trHeight w:val="3524" w:hRule="atLeast"/>
        </w:trPr>
        <w:tc>
          <w:tcPr>
            <w:tcW w:w="2810" w:type="dxa"/>
            <w:vMerge w:val="continue"/>
            <w:tcBorders>
              <w:top w:val="nil"/>
              <w:left w:val="double" w:sz="6" w:space="0" w:color="2b2a29"/>
              <w:bottom w:val="single" w:sz="6" w:space="0" w:color="2b2a29"/>
              <w:right w:val="single" w:sz="6" w:space="0" w:color="2b2a29"/>
            </w:tcBorders>
          </w:tcPr>
          <w:p>
            <w:pPr>
              <w:pStyle w:val="style0"/>
              <w:spacing w:after="160" w:lineRule="auto" w:line="259"/>
              <w:ind w:left="0" w:firstLine="0"/>
              <w:jc w:val="left"/>
              <w:rPr/>
            </w:pPr>
          </w:p>
        </w:tc>
        <w:tc>
          <w:tcPr>
            <w:tcW w:w="2218" w:type="dxa"/>
            <w:vMerge w:val="continue"/>
            <w:tcBorders>
              <w:top w:val="nil"/>
              <w:left w:val="single" w:sz="6" w:space="0" w:color="2b2a29"/>
              <w:bottom w:val="single" w:sz="6" w:space="0" w:color="2b2a29"/>
              <w:right w:val="single" w:sz="6" w:space="0" w:color="2b2a29"/>
            </w:tcBorders>
          </w:tcPr>
          <w:p>
            <w:pPr>
              <w:pStyle w:val="style0"/>
              <w:spacing w:after="160" w:lineRule="auto" w:line="259"/>
              <w:ind w:left="0" w:firstLine="0"/>
              <w:jc w:val="left"/>
              <w:rPr/>
            </w:pPr>
          </w:p>
        </w:tc>
        <w:tc>
          <w:tcPr>
            <w:tcW w:w="1708" w:type="dxa"/>
            <w:vMerge w:val="continue"/>
            <w:tcBorders>
              <w:top w:val="nil"/>
              <w:left w:val="single" w:sz="6" w:space="0" w:color="2b2a29"/>
              <w:bottom w:val="single" w:sz="6" w:space="0" w:color="2b2a29"/>
              <w:right w:val="single" w:sz="6" w:space="0" w:color="2b2a29"/>
            </w:tcBorders>
          </w:tcPr>
          <w:p>
            <w:pPr>
              <w:pStyle w:val="style0"/>
              <w:spacing w:after="160" w:lineRule="auto" w:line="259"/>
              <w:ind w:left="0" w:firstLine="0"/>
              <w:jc w:val="left"/>
              <w:rPr/>
            </w:pPr>
          </w:p>
          <w:bookmarkStart w:id="0" w:name="_GoBack"/>
          <w:bookmarkEnd w:id="0"/>
        </w:tc>
        <w:tc>
          <w:tcPr>
            <w:tcW w:w="1643" w:type="dxa"/>
            <w:tcBorders>
              <w:top w:val="single" w:sz="4" w:space="0" w:color="000000"/>
              <w:left w:val="single" w:sz="6" w:space="0" w:color="2b2a29"/>
              <w:bottom w:val="single" w:sz="6" w:space="0" w:color="2b2a29"/>
              <w:right w:val="single" w:sz="6" w:space="0" w:color="2b2a29"/>
            </w:tcBorders>
          </w:tcPr>
          <w:p>
            <w:pPr>
              <w:pStyle w:val="style0"/>
              <w:spacing w:after="0" w:lineRule="auto" w:line="259"/>
              <w:ind w:left="0" w:right="15" w:firstLine="0"/>
              <w:jc w:val="left"/>
              <w:rPr/>
            </w:pPr>
          </w:p>
        </w:tc>
        <w:tc>
          <w:tcPr>
            <w:tcW w:w="1057" w:type="dxa"/>
            <w:vMerge w:val="continue"/>
            <w:tcBorders>
              <w:top w:val="nil"/>
              <w:left w:val="single" w:sz="6" w:space="0" w:color="2b2a29"/>
              <w:bottom w:val="single" w:sz="6" w:space="0" w:color="2b2a29"/>
              <w:right w:val="single" w:sz="6" w:space="0" w:color="2b2a29"/>
            </w:tcBorders>
          </w:tcPr>
          <w:p>
            <w:pPr>
              <w:pStyle w:val="style0"/>
              <w:spacing w:after="160" w:lineRule="auto" w:line="259"/>
              <w:ind w:left="0" w:firstLine="0"/>
              <w:jc w:val="left"/>
              <w:rPr/>
            </w:pPr>
          </w:p>
        </w:tc>
      </w:tr>
    </w:tbl>
    <w:p>
      <w:pPr>
        <w:pStyle w:val="style0"/>
        <w:spacing w:after="5" w:lineRule="auto" w:line="259"/>
        <w:ind w:left="540" w:firstLine="0"/>
        <w:jc w:val="left"/>
        <w:rPr>
          <w:b/>
          <w:u w:val="single" w:color="000000"/>
        </w:rPr>
      </w:pPr>
    </w:p>
    <w:p>
      <w:pPr>
        <w:pStyle w:val="style0"/>
        <w:spacing w:after="5" w:lineRule="auto" w:line="259"/>
        <w:ind w:left="540" w:firstLine="0"/>
        <w:jc w:val="left"/>
        <w:rPr>
          <w:b/>
          <w:u w:val="single" w:color="000000"/>
        </w:rPr>
      </w:pPr>
    </w:p>
    <w:p>
      <w:pPr>
        <w:pStyle w:val="style0"/>
        <w:spacing w:after="5" w:lineRule="auto" w:line="259"/>
        <w:ind w:left="540" w:firstLine="0"/>
        <w:jc w:val="left"/>
        <w:rPr>
          <w:b/>
          <w:u w:val="single" w:color="000000"/>
        </w:rPr>
      </w:pPr>
    </w:p>
    <w:p>
      <w:pPr>
        <w:pStyle w:val="style0"/>
        <w:spacing w:after="5" w:lineRule="auto" w:line="259"/>
        <w:ind w:left="540" w:firstLine="0"/>
        <w:jc w:val="left"/>
        <w:rPr/>
      </w:pPr>
      <w:r>
        <w:rPr>
          <w:b/>
          <w:u w:val="single" w:color="000000"/>
        </w:rPr>
        <w:t>Terms and Conditions of E- Auction:</w:t>
      </w:r>
    </w:p>
    <w:p>
      <w:pPr>
        <w:pStyle w:val="style0"/>
        <w:ind w:left="800" w:right="166"/>
        <w:rPr/>
      </w:pPr>
      <w:r>
        <w:rPr>
          <w:b/>
        </w:rPr>
        <w:t>1)</w:t>
      </w:r>
      <w:r>
        <w:t>The</w:t>
      </w:r>
      <w:r>
        <w:t xml:space="preserve"> Auction is conducted as per the further Terms and Conditions of the Bid document and as per the procedure set out therein. Bidders may go through the website of IndoStar Capital Finance Limited (ICFL), </w:t>
      </w:r>
      <w:r>
        <w:rPr/>
        <w:fldChar w:fldCharType="begin"/>
      </w:r>
      <w:r>
        <w:instrText xml:space="preserve"> HYPERLINK "https://www.indostarcapital.com/" </w:instrText>
      </w:r>
      <w:r>
        <w:rPr/>
        <w:fldChar w:fldCharType="separate"/>
      </w:r>
      <w:r>
        <w:rPr>
          <w:b/>
          <w:color w:val="0563c1"/>
          <w:u w:val="single" w:color="0563c1"/>
        </w:rPr>
        <w:t>https://www.indostarcapital.com/</w:t>
      </w:r>
      <w:r>
        <w:rPr/>
        <w:fldChar w:fldCharType="end"/>
      </w:r>
      <w:r>
        <w:rPr/>
        <w:fldChar w:fldCharType="begin"/>
      </w:r>
      <w:r>
        <w:instrText xml:space="preserve"> HYPERLINK "https://www.indostarcapital.com/" </w:instrText>
      </w:r>
      <w:r>
        <w:rPr/>
        <w:fldChar w:fldCharType="separate"/>
      </w:r>
      <w:r>
        <w:rPr/>
        <w:fldChar w:fldCharType="end"/>
      </w:r>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pPr>
        <w:pStyle w:val="style0"/>
        <w:ind w:left="800" w:right="166"/>
        <w:rPr/>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pPr>
        <w:pStyle w:val="style0"/>
        <w:ind w:left="800" w:right="166" w:firstLine="0"/>
        <w:jc w:val="left"/>
        <w:rPr/>
      </w:pPr>
      <w:r>
        <w:t xml:space="preserve">For any enquiry, information &amp; inspection of the property, support, procedure and online training on </w:t>
      </w:r>
      <w:r>
        <w:t>eAuction</w:t>
      </w:r>
      <w:r>
        <w:t>, the prospective bidders may contact the Client Service Delivery (CSD) Department of our Sales &amp; Marketing and e-Auction Service Partner</w:t>
      </w:r>
      <w:r>
        <w:rPr>
          <w:b/>
        </w:rPr>
        <w:t xml:space="preserve"> M/s. </w:t>
      </w:r>
      <w:r>
        <w:rPr>
          <w:b/>
        </w:rPr>
        <w:t>InventON</w:t>
      </w:r>
      <w:r>
        <w:rPr>
          <w:b/>
        </w:rPr>
        <w:t xml:space="preserve"> Solutions </w:t>
      </w:r>
      <w:r>
        <w:rPr>
          <w:b/>
        </w:rPr>
        <w:t>Pvt.</w:t>
      </w:r>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or</w:t>
      </w:r>
      <w:r>
        <w:t xml:space="preserve"> the Authorized Officer, </w:t>
      </w:r>
      <w:r>
        <w:rPr>
          <w:b/>
        </w:rPr>
        <w:t>Mr.</w:t>
      </w:r>
      <w:r>
        <w:rPr>
          <w:b/>
          <w:lang w:val="en-US"/>
        </w:rPr>
        <w:t xml:space="preserve">Dipan Mankad Mob. No. 9879206681 to </w:t>
      </w:r>
      <w:r>
        <w:t>the best of knowledge and information of the Authorized officer, there is no encumbrance in the property/</w:t>
      </w:r>
      <w:r>
        <w:t>ies</w:t>
      </w:r>
      <w:r>
        <w:t xml:space="preserve">. However, the intending bidders should make their own independent inquiries regarding the </w:t>
      </w:r>
      <w:r>
        <w:t>encumbrance,</w:t>
      </w:r>
      <w:r>
        <w:t xml:space="preserve"> title of property/</w:t>
      </w:r>
      <w:r>
        <w:t>ies</w:t>
      </w:r>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pPr>
        <w:pStyle w:val="style0"/>
        <w:ind w:left="800" w:right="166"/>
        <w:rPr/>
      </w:pPr>
      <w:r>
        <w:rPr>
          <w:b/>
        </w:rPr>
        <w:t>4)</w:t>
      </w:r>
      <w:r>
        <w:t xml:space="preserve">For participating in the e-Auction, intending purchasers / bidders will have to submit the hard copy of duly filled-up bid form at the branch of Secured Creditor’s office at </w:t>
      </w:r>
      <w:r>
        <w:rPr>
          <w:b/>
          <w:bCs/>
        </w:rPr>
        <w:t>IndoStar Capital Finance Limited,</w:t>
      </w:r>
      <w:r>
        <w:rPr>
          <w:b/>
          <w:bCs/>
          <w:lang w:val="en-US"/>
        </w:rPr>
        <w:t xml:space="preserve"> F1-A , 1St floor, City Square, Above Bank of Baroda, Ajaramar Chowk, Rander Road, Surat 395009 </w:t>
      </w:r>
      <w:r>
        <w:t xml:space="preserve">with the details of payment of interest-free refundable Earnest Money Deposit (EMD) of the secured asset as mentioned above by way of Demand Draft in favour of </w:t>
      </w:r>
      <w:r>
        <w:rPr>
          <w:b/>
        </w:rPr>
        <w:t>‘</w:t>
      </w:r>
      <w:r>
        <w:rPr>
          <w:b/>
        </w:rPr>
        <w:t>Indostar</w:t>
      </w:r>
      <w:r>
        <w:rPr>
          <w:b/>
        </w:rPr>
        <w:t xml:space="preserve"> Capital Finance Limited’ </w:t>
      </w:r>
      <w:r>
        <w:t xml:space="preserve">or by way of RTGS/ NEFT to the account details mentioned as follows: </w:t>
      </w:r>
    </w:p>
    <w:p>
      <w:pPr>
        <w:pStyle w:val="style0"/>
        <w:jc w:val="center"/>
        <w:rPr/>
      </w:pPr>
      <w:r>
        <w:rPr>
          <w:b/>
          <w:bCs/>
        </w:rPr>
        <w:t xml:space="preserve">Account Name: </w:t>
      </w:r>
      <w:r>
        <w:rPr>
          <w:b/>
          <w:bCs/>
        </w:rPr>
        <w:t>Indostar</w:t>
      </w:r>
      <w:r>
        <w:rPr>
          <w:b/>
          <w:bCs/>
        </w:rPr>
        <w:t xml:space="preserve"> Capital Finance Limited, Bank Name: INDUSIND BANK Ltd, Opera House, Mumbai, Bank Account No.: 201003977546, IFSC Code: INDB0000001</w:t>
      </w:r>
      <w:r>
        <w:t xml:space="preserve">along with self-attested copies of the PAN Card, </w:t>
      </w:r>
      <w:r>
        <w:t>Aadhar</w:t>
      </w:r>
      <w:r>
        <w:t xml:space="preserve"> Card, Residence Address Proof, Board Resolutions in case of company</w:t>
      </w:r>
    </w:p>
    <w:p>
      <w:pPr>
        <w:pStyle w:val="style0"/>
        <w:jc w:val="center"/>
        <w:rPr/>
      </w:pPr>
      <w:r>
        <w:t>and</w:t>
      </w:r>
      <w:r>
        <w:t xml:space="preserve"> Address Proof on or before </w:t>
      </w:r>
      <w:r>
        <w:rPr>
          <w:b/>
        </w:rPr>
        <w:t>04:00 PM</w:t>
      </w:r>
      <w:r>
        <w:t xml:space="preserve"> of </w:t>
      </w:r>
      <w:r>
        <w:rPr>
          <w:b/>
          <w:bCs/>
        </w:rPr>
        <w:t>21</w:t>
      </w:r>
      <w:r>
        <w:rPr>
          <w:b/>
        </w:rPr>
        <w:t>/0</w:t>
      </w:r>
      <w:r>
        <w:rPr>
          <w:b/>
        </w:rPr>
        <w:t>7</w:t>
      </w:r>
      <w:r>
        <w:rPr>
          <w:b/>
        </w:rPr>
        <w:t>/2023.</w:t>
      </w:r>
    </w:p>
    <w:p>
      <w:pPr>
        <w:pStyle w:val="style0"/>
        <w:ind w:left="525" w:right="166" w:firstLine="221"/>
        <w:rPr/>
      </w:pPr>
      <w:r>
        <w:rPr>
          <w:b/>
        </w:rPr>
        <w:t>5)</w:t>
      </w:r>
      <w:r>
        <w:t>The</w:t>
      </w:r>
      <w:r>
        <w:t xml:space="preserv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pPr>
        <w:pStyle w:val="style0"/>
        <w:ind w:left="525" w:right="166" w:firstLine="221"/>
        <w:rPr/>
      </w:pPr>
      <w:r>
        <w:rPr>
          <w:b/>
        </w:rPr>
        <w:t>6)</w:t>
      </w:r>
      <w:r>
        <w:t>The</w:t>
      </w:r>
      <w:r>
        <w:t xml:space="preserve"> EMD of all other bidders who did not succeed in the e-Auction will be refunded by the Authorized Officer of the Secured Creditor within 72 working hours of the closure of the e-Auction. The EMD will not carry any interest.</w:t>
      </w:r>
    </w:p>
    <w:p>
      <w:pPr>
        <w:pStyle w:val="style0"/>
        <w:ind w:left="525" w:right="166" w:firstLine="221"/>
        <w:rPr/>
      </w:pPr>
      <w:r>
        <w:rPr>
          <w:b/>
        </w:rPr>
        <w:t>7)</w:t>
      </w:r>
      <w:r>
        <w:t xml:space="preserve">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w:t>
      </w:r>
      <w:r>
        <w:t>Authorized Officer at his/ her discretion. In case of default, all amounts deposited till then shall be liable to be forfeited;</w:t>
      </w:r>
    </w:p>
    <w:p>
      <w:pPr>
        <w:pStyle w:val="style0"/>
        <w:ind w:left="771" w:right="166"/>
        <w:rPr/>
      </w:pPr>
      <w:r>
        <w:rPr>
          <w:b/>
        </w:rPr>
        <w:t>8)</w:t>
      </w:r>
      <w:r>
        <w:t>The</w:t>
      </w:r>
      <w:r>
        <w:t xml:space="preserve"> date of Inspection of the Immovable Property is on </w:t>
      </w:r>
      <w:r>
        <w:rPr>
          <w:b/>
        </w:rPr>
        <w:t>17</w:t>
      </w:r>
      <w:r>
        <w:rPr>
          <w:b/>
        </w:rPr>
        <w:t>/0</w:t>
      </w:r>
      <w:r>
        <w:rPr>
          <w:b/>
        </w:rPr>
        <w:t>7</w:t>
      </w:r>
      <w:r>
        <w:rPr>
          <w:b/>
        </w:rPr>
        <w:t>/2023</w:t>
      </w:r>
      <w:r>
        <w:t xml:space="preserve"> between </w:t>
      </w:r>
      <w:r>
        <w:rPr>
          <w:b/>
        </w:rPr>
        <w:t>11.30 AM to 04.00 PM; 9)</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pPr>
        <w:pStyle w:val="style0"/>
        <w:ind w:left="800" w:right="166"/>
        <w:rPr/>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pPr>
        <w:pStyle w:val="style0"/>
        <w:ind w:left="800" w:right="166"/>
        <w:rPr/>
      </w:pPr>
      <w:r>
        <w:rPr>
          <w:b/>
        </w:rPr>
        <w:t>11</w:t>
      </w:r>
      <w:r>
        <w:rPr>
          <w:b/>
        </w:rPr>
        <w:t>)</w:t>
      </w:r>
      <w:r>
        <w:t>Sale</w:t>
      </w:r>
      <w:r>
        <w:t xml:space="preserve"> is subject to the confirmation by the Authorized Officer; </w:t>
      </w:r>
    </w:p>
    <w:p>
      <w:pPr>
        <w:pStyle w:val="style0"/>
        <w:ind w:left="800" w:right="166"/>
        <w:rPr/>
      </w:pPr>
      <w:r>
        <w:rPr>
          <w:b/>
        </w:rPr>
        <w:t>12</w:t>
      </w:r>
      <w:r>
        <w:rPr>
          <w:b/>
        </w:rPr>
        <w:t>)</w:t>
      </w:r>
      <w:r>
        <w:t>The</w:t>
      </w:r>
      <w:r>
        <w:t xml:space="preserve"> Total Loan Outstanding amount is not the loan foreclosure amount. All other charges (if any) shall be calculated at the time of closure of the loan. </w:t>
      </w:r>
    </w:p>
    <w:p>
      <w:pPr>
        <w:pStyle w:val="style0"/>
        <w:ind w:left="800" w:right="166"/>
        <w:rPr/>
      </w:pPr>
      <w:r>
        <w:rPr>
          <w:b/>
        </w:rPr>
        <w:t>13</w:t>
      </w:r>
      <w:r>
        <w:rPr>
          <w:b/>
        </w:rPr>
        <w:t>)</w:t>
      </w:r>
      <w:r>
        <w:t>The</w:t>
      </w:r>
      <w:r>
        <w:t xml:space="preserve"> Secured Creditor/Authorized Officer is not responsible for any liabilities whatsoever pending upon the property as mentioned above. The Property shall be auctioned on “As Is Where Is Basis”, “As Is What Is Basis”, </w:t>
      </w:r>
      <w:r>
        <w:t>“Whatever is There Is Basis” and “No Recourse”</w:t>
      </w:r>
      <w:r>
        <w:t xml:space="preserve"> condition basis. </w:t>
      </w:r>
    </w:p>
    <w:p>
      <w:pPr>
        <w:pStyle w:val="style0"/>
        <w:ind w:left="800" w:right="166"/>
        <w:rPr/>
      </w:pPr>
      <w:r>
        <w:rPr>
          <w:b/>
        </w:rPr>
        <w:t>14</w:t>
      </w:r>
      <w:r>
        <w:rPr>
          <w:b/>
        </w:rPr>
        <w:t>)</w:t>
      </w:r>
      <w:r>
        <w:t>The</w:t>
      </w:r>
      <w:r>
        <w:t xml:space="preserv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pPr>
        <w:pStyle w:val="style0"/>
        <w:ind w:left="800" w:right="166"/>
        <w:rPr/>
      </w:pPr>
      <w:r>
        <w:rPr>
          <w:b/>
        </w:rPr>
        <w:t>15</w:t>
      </w:r>
      <w:r>
        <w:rPr>
          <w:b/>
        </w:rPr>
        <w:t>)</w:t>
      </w:r>
      <w:r>
        <w:t>No</w:t>
      </w:r>
      <w:r>
        <w:t xml:space="preserve"> person other than the intending bidder/ </w:t>
      </w:r>
      <w:r>
        <w:t>offeror</w:t>
      </w:r>
      <w:r>
        <w:t xml:space="preserve"> themselves, or their duly authorized representative shall be allowed to participate in the e-Auction/sale proceedings. Such Authorization Letter is required to submit along with the Bid Documents; </w:t>
      </w:r>
    </w:p>
    <w:p>
      <w:pPr>
        <w:pStyle w:val="style0"/>
        <w:ind w:left="800" w:right="166"/>
        <w:rPr/>
      </w:pPr>
      <w:r>
        <w:rPr>
          <w:b/>
        </w:rPr>
        <w:t>16)</w:t>
      </w:r>
      <w:r>
        <w:t xml:space="preserve">Special Instruction: e-Auction shall be conducted by the Service Provider, M/s. </w:t>
      </w:r>
      <w:r>
        <w:t>InventON</w:t>
      </w:r>
      <w:r>
        <w:t xml:space="preserve"> Solutions </w:t>
      </w:r>
      <w:r>
        <w:t>Pvt.</w:t>
      </w:r>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r>
        <w:t>InventON</w:t>
      </w:r>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pPr>
        <w:pStyle w:val="style0"/>
        <w:tabs>
          <w:tab w:val="center" w:leader="none" w:pos="1344"/>
          <w:tab w:val="center" w:leader="none" w:pos="5597"/>
        </w:tabs>
        <w:spacing w:after="4" w:lineRule="auto" w:line="266"/>
        <w:ind w:left="0" w:firstLine="0"/>
        <w:jc w:val="left"/>
        <w:rPr>
          <w:rFonts w:ascii="Calibri" w:cs="Calibri" w:eastAsia="Calibri" w:hAnsi="Calibri"/>
        </w:rPr>
      </w:pPr>
      <w:r>
        <w:rPr>
          <w:rFonts w:ascii="Calibri" w:cs="Calibri" w:eastAsia="Calibri" w:hAnsi="Calibri"/>
        </w:rPr>
        <w:tab/>
      </w:r>
    </w:p>
    <w:p>
      <w:pPr>
        <w:pStyle w:val="style0"/>
        <w:tabs>
          <w:tab w:val="center" w:leader="none" w:pos="1344"/>
          <w:tab w:val="center" w:leader="none" w:pos="5597"/>
        </w:tabs>
        <w:spacing w:after="4" w:lineRule="auto" w:line="266"/>
        <w:ind w:left="0" w:firstLine="0"/>
        <w:jc w:val="left"/>
        <w:rPr>
          <w:b/>
        </w:rPr>
      </w:pPr>
    </w:p>
    <w:p>
      <w:pPr>
        <w:pStyle w:val="style0"/>
        <w:tabs>
          <w:tab w:val="center" w:leader="none" w:pos="1344"/>
          <w:tab w:val="center" w:leader="none" w:pos="5597"/>
        </w:tabs>
        <w:spacing w:after="4" w:lineRule="auto" w:line="266"/>
        <w:ind w:left="0" w:firstLine="0"/>
        <w:jc w:val="left"/>
        <w:rPr>
          <w:b/>
        </w:rPr>
      </w:pPr>
    </w:p>
    <w:p>
      <w:pPr>
        <w:pStyle w:val="style0"/>
        <w:tabs>
          <w:tab w:val="center" w:leader="none" w:pos="1344"/>
          <w:tab w:val="center" w:leader="none" w:pos="5597"/>
        </w:tabs>
        <w:spacing w:after="4" w:lineRule="auto" w:line="266"/>
        <w:ind w:left="0" w:firstLine="0"/>
        <w:jc w:val="left"/>
        <w:rPr>
          <w:b/>
        </w:rPr>
      </w:pPr>
    </w:p>
    <w:p>
      <w:pPr>
        <w:pStyle w:val="style0"/>
        <w:tabs>
          <w:tab w:val="center" w:leader="none" w:pos="1344"/>
          <w:tab w:val="center" w:leader="none" w:pos="5597"/>
        </w:tabs>
        <w:spacing w:after="4" w:lineRule="auto" w:line="266"/>
        <w:ind w:left="0" w:firstLine="0"/>
        <w:jc w:val="left"/>
        <w:rPr>
          <w:b/>
        </w:rPr>
      </w:pPr>
    </w:p>
    <w:p>
      <w:pPr>
        <w:pStyle w:val="style0"/>
        <w:tabs>
          <w:tab w:val="center" w:leader="none" w:pos="1344"/>
          <w:tab w:val="center" w:leader="none" w:pos="5597"/>
        </w:tabs>
        <w:spacing w:after="4" w:lineRule="auto" w:line="266"/>
        <w:ind w:left="0" w:firstLine="0"/>
        <w:jc w:val="left"/>
        <w:rPr>
          <w:b/>
        </w:rPr>
      </w:pPr>
    </w:p>
    <w:p>
      <w:pPr>
        <w:pStyle w:val="style0"/>
        <w:tabs>
          <w:tab w:val="center" w:leader="none" w:pos="1344"/>
          <w:tab w:val="center" w:leader="none" w:pos="5597"/>
        </w:tabs>
        <w:spacing w:after="4" w:lineRule="auto" w:line="266"/>
        <w:ind w:left="0" w:firstLine="0"/>
        <w:jc w:val="left"/>
        <w:rPr/>
      </w:pPr>
      <w:r>
        <w:rPr>
          <w:b/>
        </w:rPr>
        <w:t xml:space="preserve">Place: </w:t>
      </w:r>
      <w:r>
        <w:rPr>
          <w:b/>
          <w:lang w:val="en-US"/>
        </w:rPr>
        <w:t xml:space="preserve">Surat                 </w:t>
      </w:r>
      <w:r>
        <w:rPr>
          <w:b/>
        </w:rPr>
        <w:t xml:space="preserve">                                                                         Authorised Officer</w:t>
      </w:r>
    </w:p>
    <w:p>
      <w:pPr>
        <w:pStyle w:val="style0"/>
        <w:spacing w:after="1412" w:lineRule="auto" w:line="266"/>
        <w:ind w:left="0" w:firstLine="0"/>
        <w:jc w:val="left"/>
        <w:rPr/>
      </w:pPr>
      <w:r>
        <w:rPr>
          <w:b/>
        </w:rPr>
        <w:t xml:space="preserve">Date:              </w:t>
      </w:r>
      <w:r>
        <w:rPr>
          <w:b/>
        </w:rPr>
        <w:tab/>
      </w:r>
      <w:r>
        <w:rPr>
          <w:b/>
        </w:rPr>
        <w:tab/>
      </w:r>
      <w:r>
        <w:rPr>
          <w:b/>
        </w:rPr>
        <w:tab/>
      </w:r>
      <w:r>
        <w:rPr>
          <w:b/>
        </w:rPr>
        <w:tab/>
      </w:r>
      <w:r>
        <w:rPr>
          <w:b/>
        </w:rPr>
        <w:tab/>
      </w:r>
      <w:r>
        <w:rPr>
          <w:b/>
        </w:rPr>
        <w:tab/>
      </w:r>
      <w:r>
        <w:rPr>
          <w:b/>
        </w:rPr>
        <w:t>IndoStar Capital Finance Limited</w:t>
      </w:r>
    </w:p>
    <w:p>
      <w:pPr>
        <w:pStyle w:val="style0"/>
        <w:spacing w:after="1412" w:lineRule="auto" w:line="266"/>
        <w:ind w:left="8650"/>
        <w:jc w:val="left"/>
        <w:rPr/>
      </w:pPr>
      <w:r>
        <w:rPr>
          <w:noProof/>
        </w:rPr>
        <w:pict>
          <v:rect id="1026" filled="f" stroked="t" style="position:absolute;margin-left:422.25pt;margin-top:-43.6pt;width:101.25pt;height:120.0pt;z-index:2;mso-position-horizontal-relative:text;mso-position-vertical-relative:text;mso-width-relative:page;mso-height-relative:page;mso-wrap-distance-left:0.0pt;mso-wrap-distance-right:0.0pt;visibility:visible;">
            <v:stroke weight="1.0pt"/>
            <v:fill/>
          </v:rect>
        </w:pict>
      </w:r>
      <w:r>
        <w:t>photograph</w:t>
      </w:r>
      <w:r>
        <w:t xml:space="preserve"> of bidder(s)</w:t>
      </w:r>
    </w:p>
    <w:p>
      <w:pPr>
        <w:pStyle w:val="style0"/>
        <w:spacing w:after="4" w:lineRule="auto" w:line="266"/>
        <w:ind w:left="535"/>
        <w:jc w:val="left"/>
        <w:rPr/>
      </w:pPr>
      <w:r>
        <w:rPr>
          <w:b/>
        </w:rPr>
        <w:t xml:space="preserve">(Bid Document) </w:t>
      </w:r>
    </w:p>
    <w:p>
      <w:pPr>
        <w:pStyle w:val="style0"/>
        <w:spacing w:after="26" w:lineRule="auto" w:line="266"/>
        <w:ind w:left="535"/>
        <w:jc w:val="left"/>
        <w:rPr/>
      </w:pPr>
      <w:r>
        <w:rPr>
          <w:b/>
        </w:rPr>
        <w:t xml:space="preserve">ONLINE E-AUCTION BID APPLICATION FORM </w:t>
      </w:r>
    </w:p>
    <w:p>
      <w:pPr>
        <w:pStyle w:val="style0"/>
        <w:spacing w:after="4" w:lineRule="auto" w:line="266"/>
        <w:ind w:left="535"/>
        <w:jc w:val="left"/>
        <w:rPr/>
      </w:pPr>
      <w:r>
        <w:rPr>
          <w:b/>
        </w:rPr>
        <w:t xml:space="preserve">IndoStar Capital Finance Limited (“ICFL” or “Secured Creditor”) </w:t>
      </w:r>
    </w:p>
    <w:p>
      <w:pPr>
        <w:pStyle w:val="style0"/>
        <w:ind w:left="535" w:right="166"/>
        <w:rPr/>
      </w:pPr>
      <w:r>
        <w:t xml:space="preserve">(Read carefully the terms and conditions of Auction before filling-up and submitting the bid) </w:t>
      </w:r>
    </w:p>
    <w:tbl>
      <w:tblPr>
        <w:tblStyle w:val="style4097"/>
        <w:tblW w:w="9017" w:type="dxa"/>
        <w:tblInd w:w="546" w:type="dxa"/>
        <w:tblCellMar>
          <w:top w:w="14" w:type="dxa"/>
          <w:left w:w="107" w:type="dxa"/>
          <w:right w:w="53" w:type="dxa"/>
        </w:tblCellMar>
        <w:tblLook w:val="04A0" w:firstRow="1" w:lastRow="0" w:firstColumn="1" w:lastColumn="0" w:noHBand="0" w:noVBand="1"/>
      </w:tblPr>
      <w:tblGrid>
        <w:gridCol w:w="505"/>
        <w:gridCol w:w="4642"/>
        <w:gridCol w:w="3871"/>
      </w:tblGrid>
      <w:tr>
        <w:trPr>
          <w:trHeight w:val="424" w:hRule="atLeast"/>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pPr>
              <w:pStyle w:val="style0"/>
              <w:spacing w:after="15" w:lineRule="auto" w:line="259"/>
              <w:ind w:left="0" w:firstLine="0"/>
              <w:jc w:val="left"/>
              <w:rPr/>
            </w:pPr>
            <w:r>
              <w:rPr>
                <w:b/>
              </w:rPr>
              <w:t xml:space="preserve">Sl. </w:t>
            </w:r>
          </w:p>
          <w:p>
            <w:pPr>
              <w:pStyle w:val="style0"/>
              <w:spacing w:after="0" w:lineRule="auto" w:line="259"/>
              <w:ind w:left="0" w:firstLine="0"/>
              <w:jc w:val="left"/>
              <w:rPr/>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pPr>
              <w:pStyle w:val="style0"/>
              <w:spacing w:after="0" w:lineRule="auto" w:line="259"/>
              <w:ind w:left="1" w:firstLine="0"/>
              <w:jc w:val="left"/>
              <w:rPr/>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pPr>
              <w:pStyle w:val="style0"/>
              <w:spacing w:after="0" w:lineRule="auto" w:line="259"/>
              <w:ind w:left="1" w:firstLine="0"/>
              <w:jc w:val="left"/>
              <w:rPr/>
            </w:pPr>
            <w:r>
              <w:rPr>
                <w:b/>
              </w:rPr>
              <w:t xml:space="preserve">Details </w:t>
            </w:r>
          </w:p>
        </w:tc>
      </w:tr>
      <w:tr>
        <w:tblPrEx/>
        <w:trPr>
          <w:trHeight w:val="301"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593"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0"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2"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0"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622"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0"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3"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0"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302"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2629" w:hRule="atLeast"/>
        </w:trPr>
        <w:tc>
          <w:tcPr>
            <w:tcW w:w="439" w:type="dxa"/>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43" w:lineRule="auto" w:line="272"/>
              <w:ind w:left="1" w:right="1602" w:firstLine="0"/>
              <w:jc w:val="left"/>
              <w:rPr/>
            </w:pPr>
            <w:r>
              <w:t xml:space="preserve">EMD remittance details * Date of remittance: </w:t>
            </w:r>
          </w:p>
          <w:p>
            <w:pPr>
              <w:pStyle w:val="style0"/>
              <w:numPr>
                <w:ilvl w:val="0"/>
                <w:numId w:val="3"/>
              </w:numPr>
              <w:spacing w:after="14" w:lineRule="auto" w:line="259"/>
              <w:ind w:hanging="166"/>
              <w:jc w:val="left"/>
              <w:rPr/>
            </w:pPr>
            <w:r>
              <w:t xml:space="preserve">Name of Bank: ……………. </w:t>
            </w:r>
          </w:p>
          <w:p>
            <w:pPr>
              <w:pStyle w:val="style0"/>
              <w:spacing w:after="59" w:lineRule="auto" w:line="259"/>
              <w:ind w:left="1" w:firstLine="0"/>
              <w:jc w:val="left"/>
              <w:rPr/>
            </w:pPr>
            <w:r>
              <w:t xml:space="preserve">*Amount remitted……………………………. </w:t>
            </w:r>
          </w:p>
          <w:p>
            <w:pPr>
              <w:pStyle w:val="style0"/>
              <w:numPr>
                <w:ilvl w:val="0"/>
                <w:numId w:val="3"/>
              </w:numPr>
              <w:spacing w:after="14" w:lineRule="auto" w:line="259"/>
              <w:ind w:hanging="166"/>
              <w:jc w:val="left"/>
              <w:rPr/>
            </w:pPr>
            <w:r>
              <w:t xml:space="preserve">Branch: </w:t>
            </w:r>
          </w:p>
          <w:p>
            <w:pPr>
              <w:pStyle w:val="style0"/>
              <w:numPr>
                <w:ilvl w:val="0"/>
                <w:numId w:val="3"/>
              </w:numPr>
              <w:spacing w:after="14" w:lineRule="auto" w:line="259"/>
              <w:ind w:hanging="166"/>
              <w:jc w:val="left"/>
              <w:rPr/>
            </w:pPr>
            <w:r>
              <w:t xml:space="preserve">Account No. </w:t>
            </w:r>
          </w:p>
          <w:p>
            <w:pPr>
              <w:pStyle w:val="style0"/>
              <w:numPr>
                <w:ilvl w:val="0"/>
                <w:numId w:val="3"/>
              </w:numPr>
              <w:spacing w:after="59" w:lineRule="auto" w:line="259"/>
              <w:ind w:hanging="166"/>
              <w:jc w:val="left"/>
              <w:rPr/>
            </w:pPr>
            <w:r>
              <w:t xml:space="preserve">IFSC Code No. </w:t>
            </w:r>
          </w:p>
          <w:p>
            <w:pPr>
              <w:pStyle w:val="style0"/>
              <w:numPr>
                <w:ilvl w:val="0"/>
                <w:numId w:val="3"/>
              </w:numPr>
              <w:spacing w:after="0" w:lineRule="auto" w:line="259"/>
              <w:ind w:hanging="166"/>
              <w:jc w:val="left"/>
              <w:rPr/>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p>
        </w:tc>
      </w:tr>
      <w:tr>
        <w:tblPrEx/>
        <w:trPr>
          <w:trHeight w:val="1754" w:hRule="atLeast"/>
        </w:trPr>
        <w:tc>
          <w:tcPr>
            <w:tcW w:w="439" w:type="dxa"/>
            <w:vMerge w:val="continue"/>
            <w:tcBorders>
              <w:top w:val="nil"/>
              <w:left w:val="single" w:sz="4" w:space="0" w:color="000000"/>
              <w:bottom w:val="single" w:sz="4" w:space="0" w:color="000000"/>
              <w:right w:val="single" w:sz="4" w:space="0" w:color="000000"/>
            </w:tcBorders>
          </w:tcPr>
          <w:p>
            <w:pPr>
              <w:pStyle w:val="style0"/>
              <w:spacing w:after="160" w:lineRule="auto" w:line="259"/>
              <w:ind w:left="0" w:firstLine="0"/>
              <w:jc w:val="left"/>
              <w:rPr/>
            </w:pP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14" w:lineRule="auto" w:line="259"/>
              <w:ind w:left="1" w:firstLine="0"/>
              <w:jc w:val="left"/>
              <w:rPr/>
            </w:pPr>
            <w:r>
              <w:t xml:space="preserve">DD details: </w:t>
            </w:r>
          </w:p>
          <w:p>
            <w:pPr>
              <w:pStyle w:val="style0"/>
              <w:spacing w:after="20" w:lineRule="auto" w:line="259"/>
              <w:ind w:left="1" w:firstLine="0"/>
              <w:jc w:val="left"/>
              <w:rPr/>
            </w:pPr>
            <w:r>
              <w:t xml:space="preserve">*Date of Demand Draft </w:t>
            </w:r>
          </w:p>
          <w:p>
            <w:pPr>
              <w:pStyle w:val="style0"/>
              <w:spacing w:after="60" w:lineRule="auto" w:line="259"/>
              <w:ind w:left="1" w:firstLine="0"/>
              <w:jc w:val="left"/>
              <w:rPr/>
            </w:pPr>
            <w:r>
              <w:t xml:space="preserve">*Name of </w:t>
            </w:r>
            <w:r>
              <w:t>Bank: …</w:t>
            </w:r>
          </w:p>
          <w:p>
            <w:pPr>
              <w:pStyle w:val="style0"/>
              <w:spacing w:after="14" w:lineRule="auto" w:line="259"/>
              <w:ind w:left="1" w:firstLine="0"/>
              <w:rPr/>
            </w:pPr>
            <w:r>
              <w:t xml:space="preserve">*Name of Branch………………………… </w:t>
            </w:r>
          </w:p>
          <w:p>
            <w:pPr>
              <w:pStyle w:val="style0"/>
              <w:tabs>
                <w:tab w:val="right" w:leader="none" w:pos="3872"/>
              </w:tabs>
              <w:spacing w:after="63" w:lineRule="auto" w:line="259"/>
              <w:ind w:left="0" w:firstLine="0"/>
              <w:jc w:val="left"/>
              <w:rPr/>
            </w:pPr>
            <w:r>
              <w:t xml:space="preserve">*Amount </w:t>
            </w:r>
            <w:r>
              <w:tab/>
            </w:r>
            <w:r>
              <w:t xml:space="preserve">of </w:t>
            </w:r>
          </w:p>
          <w:p>
            <w:pPr>
              <w:pStyle w:val="style0"/>
              <w:spacing w:after="0" w:lineRule="auto" w:line="259"/>
              <w:ind w:left="1" w:firstLine="0"/>
              <w:jc w:val="left"/>
              <w:rPr/>
            </w:pPr>
            <w:r>
              <w:t xml:space="preserve">DD………………………………… </w:t>
            </w:r>
          </w:p>
        </w:tc>
        <w:tc>
          <w:tcPr>
            <w:tcW w:w="3898" w:type="dxa"/>
            <w:vMerge w:val="continue"/>
            <w:tcBorders>
              <w:top w:val="nil"/>
              <w:left w:val="single" w:sz="4" w:space="0" w:color="000000"/>
              <w:bottom w:val="single" w:sz="4" w:space="0" w:color="000000"/>
              <w:right w:val="single" w:sz="4" w:space="0" w:color="000000"/>
            </w:tcBorders>
          </w:tcPr>
          <w:p>
            <w:pPr>
              <w:pStyle w:val="style0"/>
              <w:spacing w:after="160" w:lineRule="auto" w:line="259"/>
              <w:ind w:left="0" w:firstLine="0"/>
              <w:jc w:val="left"/>
              <w:rPr/>
            </w:pPr>
          </w:p>
        </w:tc>
      </w:tr>
      <w:tr>
        <w:tblPrEx/>
        <w:trPr>
          <w:trHeight w:val="593" w:hRule="atLeast"/>
        </w:trPr>
        <w:tc>
          <w:tcPr>
            <w:tcW w:w="43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pPr>
            <w:r>
              <w:t>Rs</w:t>
            </w:r>
            <w:r>
              <w:t xml:space="preserve">. ________________________/- (Rupees_______________) </w:t>
            </w:r>
          </w:p>
        </w:tc>
      </w:tr>
    </w:tbl>
    <w:p>
      <w:pPr>
        <w:pStyle w:val="style0"/>
        <w:spacing w:after="15" w:lineRule="auto" w:line="259"/>
        <w:ind w:left="540" w:firstLine="0"/>
        <w:jc w:val="left"/>
        <w:rPr/>
      </w:pPr>
    </w:p>
    <w:p>
      <w:pPr>
        <w:pStyle w:val="style0"/>
        <w:spacing w:after="167"/>
        <w:ind w:left="535" w:right="166"/>
        <w:rPr/>
      </w:pPr>
      <w:r>
        <w:t xml:space="preserve">*Bidders are advised to preserve the EMD remittance </w:t>
      </w:r>
      <w:r>
        <w:t>challan</w:t>
      </w:r>
      <w:r>
        <w:t xml:space="preserve">. </w:t>
      </w:r>
    </w:p>
    <w:p>
      <w:pPr>
        <w:pStyle w:val="style0"/>
        <w:spacing w:after="167"/>
        <w:ind w:left="535" w:right="166"/>
        <w:rPr/>
      </w:pPr>
      <w:r>
        <w:t xml:space="preserve">I declare that I have read and understood all the terms and conditions of auction and shall abide by them: </w:t>
      </w:r>
    </w:p>
    <w:p>
      <w:pPr>
        <w:pStyle w:val="style0"/>
        <w:ind w:left="535" w:right="166"/>
        <w:rPr/>
      </w:pPr>
      <w:r>
        <w:t xml:space="preserve">Signature: ____________ </w:t>
      </w:r>
    </w:p>
    <w:p>
      <w:pPr>
        <w:pStyle w:val="style0"/>
        <w:ind w:left="535" w:right="166"/>
        <w:rPr/>
      </w:pPr>
      <w:r>
        <w:t xml:space="preserve">Name: _______________ </w:t>
      </w:r>
    </w:p>
    <w:p>
      <w:pPr>
        <w:pStyle w:val="style0"/>
        <w:ind w:left="535" w:right="166"/>
        <w:rPr/>
      </w:pPr>
      <w:r>
        <w:t xml:space="preserve">Date: ________________ </w:t>
      </w:r>
    </w:p>
    <w:p>
      <w:pPr>
        <w:pStyle w:val="style0"/>
        <w:ind w:left="535" w:right="166"/>
        <w:rPr/>
      </w:pPr>
      <w:r>
        <w:t xml:space="preserve">Place: _______________ </w:t>
      </w:r>
    </w:p>
    <w:p>
      <w:pPr>
        <w:pStyle w:val="style0"/>
        <w:spacing w:after="14" w:lineRule="auto" w:line="259"/>
        <w:ind w:left="540" w:firstLine="0"/>
        <w:jc w:val="left"/>
        <w:rPr/>
      </w:pPr>
    </w:p>
    <w:p>
      <w:pPr>
        <w:pStyle w:val="style0"/>
        <w:spacing w:after="4" w:lineRule="auto" w:line="266"/>
        <w:ind w:left="535"/>
        <w:jc w:val="left"/>
        <w:rPr/>
      </w:pPr>
      <w:r>
        <w:rPr>
          <w:b/>
        </w:rPr>
        <w:t xml:space="preserve">TERMS AND CONDITIONS (Part of Bid Document) </w:t>
      </w:r>
    </w:p>
    <w:p>
      <w:pPr>
        <w:pStyle w:val="style0"/>
        <w:spacing w:after="23" w:lineRule="auto" w:line="259"/>
        <w:ind w:left="540" w:firstLine="0"/>
        <w:jc w:val="left"/>
        <w:rPr/>
      </w:pPr>
    </w:p>
    <w:p>
      <w:pPr>
        <w:pStyle w:val="style0"/>
        <w:numPr>
          <w:ilvl w:val="0"/>
          <w:numId w:val="2"/>
        </w:numPr>
        <w:spacing w:after="52"/>
        <w:ind w:right="166" w:hanging="360"/>
        <w:rPr/>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pPr>
        <w:pStyle w:val="style0"/>
        <w:numPr>
          <w:ilvl w:val="0"/>
          <w:numId w:val="2"/>
        </w:numPr>
        <w:ind w:right="166" w:hanging="360"/>
        <w:rPr/>
      </w:pPr>
      <w:r>
        <w:t xml:space="preserve">The auction of Immovable secured asset is “As Is Where Is Basis”, “As Is What Is Basis”, “Whatever is There Is Basis” and “No Recourse” condition basis for and on behalf of the Secured Creditor viz. ICFL as mentioned in auction terms &amp; conditions. </w:t>
      </w:r>
    </w:p>
    <w:p>
      <w:pPr>
        <w:pStyle w:val="style0"/>
        <w:numPr>
          <w:ilvl w:val="0"/>
          <w:numId w:val="2"/>
        </w:numPr>
        <w:ind w:right="166" w:hanging="360"/>
        <w:rPr/>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pPr>
        <w:pStyle w:val="style0"/>
        <w:numPr>
          <w:ilvl w:val="0"/>
          <w:numId w:val="2"/>
        </w:numPr>
        <w:ind w:right="166" w:hanging="360"/>
        <w:rPr/>
      </w:pPr>
      <w:r>
        <w:t xml:space="preserve">The bids submitted without EMD amount and without proper KYC documents shall be summarily rejected. </w:t>
      </w:r>
    </w:p>
    <w:p>
      <w:pPr>
        <w:pStyle w:val="style0"/>
        <w:numPr>
          <w:ilvl w:val="0"/>
          <w:numId w:val="2"/>
        </w:numPr>
        <w:ind w:right="166" w:hanging="360"/>
        <w:rPr/>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pPr>
        <w:pStyle w:val="style0"/>
        <w:numPr>
          <w:ilvl w:val="0"/>
          <w:numId w:val="2"/>
        </w:numPr>
        <w:ind w:right="166" w:hanging="360"/>
        <w:rPr/>
      </w:pPr>
      <w:r>
        <w:t xml:space="preserve">Under no circumstances the auction shall take place below the reserve price. </w:t>
      </w:r>
    </w:p>
    <w:p>
      <w:pPr>
        <w:pStyle w:val="style0"/>
        <w:numPr>
          <w:ilvl w:val="0"/>
          <w:numId w:val="2"/>
        </w:numPr>
        <w:ind w:right="166" w:hanging="360"/>
        <w:rPr/>
      </w:pPr>
      <w:r>
        <w:t xml:space="preserve">Interested bidders may inspect the Immovable secured asset as per the dates mentioned in the auction terms and conditions. </w:t>
      </w:r>
    </w:p>
    <w:p>
      <w:pPr>
        <w:pStyle w:val="style0"/>
        <w:numPr>
          <w:ilvl w:val="0"/>
          <w:numId w:val="2"/>
        </w:numPr>
        <w:ind w:right="166" w:hanging="360"/>
        <w:rPr/>
      </w:pPr>
      <w:r>
        <w:t xml:space="preserve">The interested bidders may inspect the security documents available with secured creditor. </w:t>
      </w:r>
    </w:p>
    <w:p>
      <w:pPr>
        <w:pStyle w:val="style0"/>
        <w:numPr>
          <w:ilvl w:val="0"/>
          <w:numId w:val="2"/>
        </w:numPr>
        <w:spacing w:after="0" w:lineRule="auto" w:line="286"/>
        <w:ind w:right="166" w:hanging="360"/>
        <w:rPr/>
      </w:pPr>
      <w:r>
        <w:t xml:space="preserve">The interested bidders shall submit their unconditional bid as per the date mentioned in auction terms and conditions. Once a Bid Application is deposited by the bidder, the same cannot be withdrawn. </w:t>
      </w:r>
    </w:p>
    <w:p>
      <w:pPr>
        <w:pStyle w:val="style0"/>
        <w:spacing w:after="17" w:lineRule="auto" w:line="259"/>
        <w:ind w:left="900" w:firstLine="0"/>
        <w:jc w:val="left"/>
        <w:rPr/>
      </w:pPr>
    </w:p>
    <w:p>
      <w:pPr>
        <w:pStyle w:val="style0"/>
        <w:ind w:left="910" w:right="166"/>
        <w:rPr/>
      </w:pPr>
      <w:r>
        <w:t xml:space="preserve">Following documents have to be submitted by each bidder failing which Authorised Officer shall have the right to accept or reject any or all Bids without assigning any reasons thereof: </w:t>
      </w:r>
    </w:p>
    <w:p>
      <w:pPr>
        <w:pStyle w:val="style0"/>
        <w:spacing w:after="17" w:lineRule="auto" w:line="259"/>
        <w:ind w:left="900" w:firstLine="0"/>
        <w:jc w:val="left"/>
        <w:rPr/>
      </w:pPr>
    </w:p>
    <w:p>
      <w:pPr>
        <w:pStyle w:val="style0"/>
        <w:numPr>
          <w:ilvl w:val="1"/>
          <w:numId w:val="2"/>
        </w:numPr>
        <w:ind w:left="1441" w:right="166" w:hanging="473"/>
        <w:rPr/>
      </w:pPr>
      <w:r>
        <w:t xml:space="preserve">DD/online Particulars of Earnest Money Deposit has to be obtained from a scheduled bank, drawn in favour of trust mentioned in auction terms and conditions which is payable at Mumbai as EMD. </w:t>
      </w:r>
    </w:p>
    <w:p>
      <w:pPr>
        <w:pStyle w:val="style0"/>
        <w:numPr>
          <w:ilvl w:val="1"/>
          <w:numId w:val="2"/>
        </w:numPr>
        <w:ind w:left="1441" w:right="166" w:hanging="473"/>
        <w:rPr/>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pPr>
        <w:pStyle w:val="style0"/>
        <w:numPr>
          <w:ilvl w:val="1"/>
          <w:numId w:val="2"/>
        </w:numPr>
        <w:ind w:left="1441" w:right="166" w:hanging="473"/>
        <w:rPr/>
      </w:pPr>
      <w:r>
        <w:t xml:space="preserve">The EMD amount can also be paid by way of NEFT / RTGS as per the Bank details provided for each property as in the auction terms and conditions. </w:t>
      </w:r>
    </w:p>
    <w:p>
      <w:pPr>
        <w:pStyle w:val="style0"/>
        <w:spacing w:after="23" w:lineRule="auto" w:line="259"/>
        <w:ind w:left="1440" w:firstLine="0"/>
        <w:jc w:val="left"/>
        <w:rPr/>
      </w:pPr>
    </w:p>
    <w:p>
      <w:pPr>
        <w:pStyle w:val="style0"/>
        <w:numPr>
          <w:ilvl w:val="0"/>
          <w:numId w:val="2"/>
        </w:numPr>
        <w:ind w:right="166" w:hanging="360"/>
        <w:rPr/>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pPr>
        <w:pStyle w:val="style0"/>
        <w:spacing w:after="21" w:lineRule="auto" w:line="259"/>
        <w:ind w:left="900" w:firstLine="0"/>
        <w:jc w:val="left"/>
        <w:rPr/>
      </w:pPr>
    </w:p>
    <w:p>
      <w:pPr>
        <w:pStyle w:val="style0"/>
        <w:numPr>
          <w:ilvl w:val="0"/>
          <w:numId w:val="2"/>
        </w:numPr>
        <w:ind w:right="166" w:hanging="360"/>
        <w:rPr/>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pPr>
        <w:pStyle w:val="style0"/>
        <w:spacing w:after="21" w:lineRule="auto" w:line="259"/>
        <w:ind w:left="900" w:firstLine="0"/>
        <w:jc w:val="left"/>
        <w:rPr/>
      </w:pPr>
    </w:p>
    <w:p>
      <w:pPr>
        <w:pStyle w:val="style0"/>
        <w:numPr>
          <w:ilvl w:val="0"/>
          <w:numId w:val="2"/>
        </w:numPr>
        <w:ind w:right="166" w:hanging="360"/>
        <w:rPr/>
      </w:pPr>
      <w:r>
        <w:t xml:space="preserve">Successful bidder will be intimated through e-mail for payment of 25% of highest bid amount immediately after closing of Auction. </w:t>
      </w:r>
    </w:p>
    <w:p>
      <w:pPr>
        <w:pStyle w:val="style0"/>
        <w:spacing w:after="21" w:lineRule="auto" w:line="259"/>
        <w:ind w:left="900" w:firstLine="0"/>
        <w:jc w:val="left"/>
        <w:rPr/>
      </w:pPr>
    </w:p>
    <w:p>
      <w:pPr>
        <w:pStyle w:val="style0"/>
        <w:numPr>
          <w:ilvl w:val="0"/>
          <w:numId w:val="2"/>
        </w:numPr>
        <w:ind w:right="166" w:hanging="360"/>
        <w:rPr/>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pPr>
        <w:pStyle w:val="style0"/>
        <w:spacing w:after="21" w:lineRule="auto" w:line="259"/>
        <w:ind w:left="900" w:firstLine="0"/>
        <w:jc w:val="left"/>
        <w:rPr/>
      </w:pPr>
    </w:p>
    <w:p>
      <w:pPr>
        <w:pStyle w:val="style0"/>
        <w:numPr>
          <w:ilvl w:val="0"/>
          <w:numId w:val="2"/>
        </w:numPr>
        <w:ind w:right="166" w:hanging="360"/>
        <w:rPr/>
      </w:pPr>
      <w:r>
        <w:t xml:space="preserve">Highest Bidder shall deposit 25% of the highest bid amount immediately (i.e., on same day or not later than next working day). On payment of 25% of auction price, the   auction shall be confirmed in favour of highest bidder. </w:t>
      </w:r>
    </w:p>
    <w:p>
      <w:pPr>
        <w:pStyle w:val="style0"/>
        <w:spacing w:after="23" w:lineRule="auto" w:line="259"/>
        <w:ind w:left="900" w:firstLine="0"/>
        <w:jc w:val="left"/>
        <w:rPr/>
      </w:pPr>
    </w:p>
    <w:p>
      <w:pPr>
        <w:pStyle w:val="style0"/>
        <w:numPr>
          <w:ilvl w:val="0"/>
          <w:numId w:val="2"/>
        </w:numPr>
        <w:ind w:right="166" w:hanging="360"/>
        <w:rPr/>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pPr>
        <w:pStyle w:val="style0"/>
        <w:spacing w:after="21" w:lineRule="auto" w:line="259"/>
        <w:ind w:left="900" w:firstLine="0"/>
        <w:jc w:val="left"/>
        <w:rPr/>
      </w:pPr>
    </w:p>
    <w:p>
      <w:pPr>
        <w:pStyle w:val="style0"/>
        <w:numPr>
          <w:ilvl w:val="0"/>
          <w:numId w:val="2"/>
        </w:numPr>
        <w:ind w:right="166" w:hanging="360"/>
        <w:rPr/>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w:t>
      </w:r>
      <w:r>
        <w:t>Challan</w:t>
      </w:r>
      <w:r>
        <w:t xml:space="preserve"> for having remitted the TDS on Sale Price. </w:t>
      </w:r>
    </w:p>
    <w:p>
      <w:pPr>
        <w:pStyle w:val="style0"/>
        <w:spacing w:after="23" w:lineRule="auto" w:line="259"/>
        <w:ind w:left="900" w:firstLine="0"/>
        <w:jc w:val="left"/>
        <w:rPr/>
      </w:pPr>
    </w:p>
    <w:p>
      <w:pPr>
        <w:pStyle w:val="style0"/>
        <w:numPr>
          <w:ilvl w:val="0"/>
          <w:numId w:val="2"/>
        </w:numPr>
        <w:ind w:right="166" w:hanging="360"/>
        <w:rPr/>
      </w:pPr>
      <w:r>
        <w:t xml:space="preserve">Authorised Officer reserves the right to accept or reject any or all the Bids without assigning any reasons. </w:t>
      </w:r>
    </w:p>
    <w:p>
      <w:pPr>
        <w:pStyle w:val="style0"/>
        <w:spacing w:after="0" w:lineRule="auto" w:line="259"/>
        <w:ind w:left="900" w:firstLine="0"/>
        <w:jc w:val="left"/>
        <w:rPr/>
      </w:pPr>
    </w:p>
    <w:p>
      <w:pPr>
        <w:pStyle w:val="style0"/>
        <w:numPr>
          <w:ilvl w:val="0"/>
          <w:numId w:val="2"/>
        </w:numPr>
        <w:ind w:right="166" w:hanging="360"/>
        <w:rPr/>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pPr>
        <w:pStyle w:val="style0"/>
        <w:spacing w:after="23" w:lineRule="auto" w:line="259"/>
        <w:ind w:left="900" w:firstLine="0"/>
        <w:jc w:val="left"/>
        <w:rPr/>
      </w:pPr>
    </w:p>
    <w:p>
      <w:pPr>
        <w:pStyle w:val="style0"/>
        <w:numPr>
          <w:ilvl w:val="0"/>
          <w:numId w:val="2"/>
        </w:numPr>
        <w:ind w:right="166" w:hanging="360"/>
        <w:rPr/>
      </w:pPr>
      <w:r>
        <w:t xml:space="preserve">ICFL shall not be liable to pay any interest on auction price in case of delay in issuance of confirmation of Sale/ Sale Certificate by virtue of any Court Order received after e-auction is held. </w:t>
      </w:r>
    </w:p>
    <w:p>
      <w:pPr>
        <w:pStyle w:val="style0"/>
        <w:spacing w:after="21" w:lineRule="auto" w:line="259"/>
        <w:ind w:left="540" w:firstLine="0"/>
        <w:jc w:val="left"/>
        <w:rPr/>
      </w:pPr>
    </w:p>
    <w:p>
      <w:pPr>
        <w:pStyle w:val="style0"/>
        <w:numPr>
          <w:ilvl w:val="0"/>
          <w:numId w:val="2"/>
        </w:numPr>
        <w:ind w:right="166" w:hanging="360"/>
        <w:rPr/>
      </w:pPr>
      <w:r>
        <w:t xml:space="preserve">No Nomination in favour of any person other than bidder is permitted. The Sale Certificate will be issued upon receipt of full auction price in the name of the Bidder(s) only and will not be issued in any other name(s). </w:t>
      </w:r>
    </w:p>
    <w:p>
      <w:pPr>
        <w:pStyle w:val="style0"/>
        <w:spacing w:after="23" w:lineRule="auto" w:line="259"/>
        <w:ind w:left="900" w:firstLine="0"/>
        <w:jc w:val="left"/>
        <w:rPr/>
      </w:pPr>
    </w:p>
    <w:p>
      <w:pPr>
        <w:pStyle w:val="style0"/>
        <w:numPr>
          <w:ilvl w:val="0"/>
          <w:numId w:val="2"/>
        </w:numPr>
        <w:ind w:right="166" w:hanging="360"/>
        <w:rPr/>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pPr>
        <w:pStyle w:val="style0"/>
        <w:spacing w:after="21" w:lineRule="auto" w:line="259"/>
        <w:ind w:left="900" w:firstLine="0"/>
        <w:jc w:val="left"/>
        <w:rPr/>
      </w:pPr>
    </w:p>
    <w:p>
      <w:pPr>
        <w:pStyle w:val="style0"/>
        <w:numPr>
          <w:ilvl w:val="0"/>
          <w:numId w:val="2"/>
        </w:numPr>
        <w:ind w:right="166" w:hanging="360"/>
        <w:rPr/>
      </w:pPr>
      <w:r>
        <w:t xml:space="preserve">Authorised Officer does not take any responsibility for procuring any permission, etc. or for the dues of any authority established by law. </w:t>
      </w:r>
    </w:p>
    <w:p>
      <w:pPr>
        <w:pStyle w:val="style0"/>
        <w:spacing w:after="23" w:lineRule="auto" w:line="259"/>
        <w:ind w:left="900" w:firstLine="0"/>
        <w:jc w:val="left"/>
        <w:rPr/>
      </w:pPr>
    </w:p>
    <w:p>
      <w:pPr>
        <w:pStyle w:val="style0"/>
        <w:numPr>
          <w:ilvl w:val="0"/>
          <w:numId w:val="2"/>
        </w:numPr>
        <w:ind w:right="166" w:hanging="360"/>
        <w:rPr/>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pPr>
        <w:pStyle w:val="style0"/>
        <w:spacing w:after="23" w:lineRule="auto" w:line="259"/>
        <w:ind w:left="540" w:firstLine="0"/>
        <w:jc w:val="left"/>
        <w:rPr/>
      </w:pPr>
    </w:p>
    <w:p>
      <w:pPr>
        <w:pStyle w:val="style0"/>
        <w:numPr>
          <w:ilvl w:val="0"/>
          <w:numId w:val="2"/>
        </w:numPr>
        <w:ind w:right="166" w:hanging="360"/>
        <w:rPr/>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pPr>
        <w:pStyle w:val="style0"/>
        <w:spacing w:after="23" w:lineRule="auto" w:line="259"/>
        <w:ind w:left="900" w:firstLine="0"/>
        <w:jc w:val="left"/>
        <w:rPr/>
      </w:pPr>
    </w:p>
    <w:p>
      <w:pPr>
        <w:pStyle w:val="style0"/>
        <w:numPr>
          <w:ilvl w:val="0"/>
          <w:numId w:val="2"/>
        </w:numPr>
        <w:ind w:right="166" w:hanging="360"/>
        <w:rPr/>
      </w:pPr>
      <w:r>
        <w:t xml:space="preserve">All disputes arising amongst the parties shall be adjudicated according to Indian Law and the Courts at Mumbai alone shall have jurisdiction to entertain/adjudicate such disputes. </w:t>
      </w:r>
    </w:p>
    <w:p>
      <w:pPr>
        <w:pStyle w:val="style0"/>
        <w:spacing w:after="21" w:lineRule="auto" w:line="259"/>
        <w:ind w:left="540" w:firstLine="0"/>
        <w:jc w:val="left"/>
        <w:rPr/>
      </w:pPr>
    </w:p>
    <w:p>
      <w:pPr>
        <w:pStyle w:val="style0"/>
        <w:numPr>
          <w:ilvl w:val="0"/>
          <w:numId w:val="2"/>
        </w:numPr>
        <w:ind w:right="166" w:hanging="360"/>
        <w:rPr/>
      </w:pPr>
      <w:r>
        <w:t xml:space="preserve">All bidders who have submitted the bids shall be deemed to have read and understood the terms and conditions of the E-Auction and shall be bound by them. </w:t>
      </w:r>
    </w:p>
    <w:p>
      <w:pPr>
        <w:pStyle w:val="style0"/>
        <w:spacing w:after="21" w:lineRule="auto" w:line="259"/>
        <w:ind w:left="900" w:firstLine="0"/>
        <w:jc w:val="left"/>
        <w:rPr/>
      </w:pPr>
    </w:p>
    <w:p>
      <w:pPr>
        <w:pStyle w:val="style0"/>
        <w:numPr>
          <w:ilvl w:val="0"/>
          <w:numId w:val="2"/>
        </w:numPr>
        <w:ind w:right="166" w:hanging="360"/>
        <w:rPr/>
      </w:pPr>
      <w:r>
        <w:t xml:space="preserve">The auction shall be subject to provisions of the Securitisation and Reconstruction of Financial Assets and Enforcement of Security Interest Act, 2002 read with Security Interest (Enforcement) Rules, 2002. </w:t>
      </w:r>
    </w:p>
    <w:p>
      <w:pPr>
        <w:pStyle w:val="style0"/>
        <w:spacing w:after="175" w:lineRule="auto" w:line="259"/>
        <w:ind w:left="540" w:firstLine="0"/>
        <w:jc w:val="left"/>
        <w:rPr/>
      </w:pPr>
    </w:p>
    <w:p>
      <w:pPr>
        <w:pStyle w:val="style0"/>
        <w:spacing w:after="175" w:lineRule="auto" w:line="259"/>
        <w:ind w:left="540" w:firstLine="0"/>
        <w:jc w:val="left"/>
        <w:rPr>
          <w:b/>
        </w:rPr>
      </w:pPr>
    </w:p>
    <w:p>
      <w:pPr>
        <w:pStyle w:val="style0"/>
        <w:spacing w:after="175" w:lineRule="auto" w:line="259"/>
        <w:ind w:left="540" w:firstLine="0"/>
        <w:jc w:val="left"/>
        <w:rPr>
          <w:b/>
        </w:rPr>
      </w:pPr>
    </w:p>
    <w:p>
      <w:pPr>
        <w:pStyle w:val="style0"/>
        <w:spacing w:after="175" w:lineRule="auto" w:line="259"/>
        <w:ind w:left="540" w:firstLine="0"/>
        <w:jc w:val="left"/>
        <w:rPr/>
      </w:pPr>
      <w:r>
        <w:rPr>
          <w:b/>
        </w:rPr>
        <w:t xml:space="preserve">Name &amp; Signature of the Bidder </w:t>
      </w:r>
    </w:p>
    <w:p>
      <w:pPr>
        <w:pStyle w:val="style0"/>
        <w:spacing w:after="0" w:lineRule="auto" w:line="259"/>
        <w:jc w:val="left"/>
        <w:rPr/>
      </w:pPr>
    </w:p>
    <w:p>
      <w:pPr>
        <w:pStyle w:val="style0"/>
        <w:spacing w:after="169" w:lineRule="auto" w:line="266"/>
        <w:ind w:left="0" w:firstLine="0"/>
        <w:jc w:val="left"/>
        <w:rPr/>
      </w:pPr>
      <w:r>
        <w:rPr>
          <w:b/>
        </w:rPr>
        <w:t xml:space="preserve">DECLARATION CUM UNDERTAKING </w:t>
      </w:r>
    </w:p>
    <w:p>
      <w:pPr>
        <w:pStyle w:val="style0"/>
        <w:ind w:left="10" w:right="166"/>
        <w:rPr/>
      </w:pPr>
      <w:r>
        <w:t xml:space="preserve">To, </w:t>
      </w:r>
    </w:p>
    <w:p>
      <w:pPr>
        <w:pStyle w:val="style0"/>
        <w:ind w:left="10" w:right="166"/>
        <w:rPr/>
      </w:pPr>
      <w:r>
        <w:t xml:space="preserve">Authorized Officer </w:t>
      </w:r>
    </w:p>
    <w:p>
      <w:pPr>
        <w:pStyle w:val="style0"/>
        <w:ind w:left="10" w:right="166"/>
        <w:rPr/>
      </w:pPr>
      <w:r>
        <w:t xml:space="preserve">____________________ </w:t>
      </w:r>
    </w:p>
    <w:p>
      <w:pPr>
        <w:pStyle w:val="style0"/>
        <w:spacing w:after="14" w:lineRule="auto" w:line="259"/>
        <w:ind w:left="0" w:firstLine="0"/>
        <w:jc w:val="left"/>
        <w:rPr/>
      </w:pPr>
    </w:p>
    <w:p>
      <w:pPr>
        <w:pStyle w:val="style0"/>
        <w:spacing w:after="14" w:lineRule="auto" w:line="259"/>
        <w:ind w:left="0" w:firstLine="0"/>
        <w:jc w:val="left"/>
        <w:rPr/>
      </w:pPr>
    </w:p>
    <w:p>
      <w:pPr>
        <w:pStyle w:val="style0"/>
        <w:spacing w:after="175" w:lineRule="auto" w:line="259"/>
        <w:ind w:left="540" w:firstLine="0"/>
        <w:jc w:val="left"/>
        <w:rPr/>
      </w:pPr>
    </w:p>
    <w:p>
      <w:pPr>
        <w:pStyle w:val="style0"/>
        <w:spacing w:after="167"/>
        <w:ind w:left="535" w:right="166"/>
        <w:rPr/>
      </w:pPr>
      <w:r>
        <w:t xml:space="preserve">I / We, the Bidder/s aforesaid do hereby state: </w:t>
      </w:r>
    </w:p>
    <w:p>
      <w:pPr>
        <w:pStyle w:val="style0"/>
        <w:tabs>
          <w:tab w:val="center" w:leader="none" w:pos="743"/>
          <w:tab w:val="center" w:leader="none" w:pos="1287"/>
          <w:tab w:val="center" w:leader="none" w:pos="1759"/>
          <w:tab w:val="center" w:leader="none" w:pos="2228"/>
          <w:tab w:val="center" w:leader="none" w:pos="2715"/>
          <w:tab w:val="center" w:leader="none" w:pos="3304"/>
          <w:tab w:val="center" w:leader="none" w:pos="4176"/>
          <w:tab w:val="center" w:leader="none" w:pos="4997"/>
          <w:tab w:val="center" w:leader="none" w:pos="5723"/>
          <w:tab w:val="center" w:leader="none" w:pos="6490"/>
          <w:tab w:val="center" w:leader="none" w:pos="7056"/>
          <w:tab w:val="center" w:leader="none" w:pos="7866"/>
          <w:tab w:val="center" w:leader="none" w:pos="8982"/>
          <w:tab w:val="right" w:leader="none" w:pos="10070"/>
        </w:tabs>
        <w:ind w:left="0" w:firstLine="0"/>
        <w:jc w:val="left"/>
        <w:rPr/>
      </w:pPr>
      <w:r>
        <w:rPr>
          <w:rFonts w:ascii="Calibri" w:cs="Calibri" w:eastAsia="Calibri" w:hAnsi="Calibri"/>
        </w:rPr>
        <w:tab/>
      </w:r>
      <w:r>
        <w:t xml:space="preserve">That </w:t>
      </w:r>
      <w:r>
        <w:tab/>
      </w:r>
      <w:r>
        <w:t xml:space="preserve">I </w:t>
      </w:r>
      <w:r>
        <w:tab/>
      </w:r>
      <w:r>
        <w:t xml:space="preserve">am </w:t>
      </w:r>
      <w:r>
        <w:tab/>
      </w:r>
      <w:r>
        <w:t xml:space="preserve">/ </w:t>
      </w:r>
      <w:r>
        <w:tab/>
      </w:r>
      <w:r>
        <w:t>We</w:t>
      </w:r>
      <w:r>
        <w:t xml:space="preserve"> </w:t>
      </w:r>
      <w:r>
        <w:tab/>
      </w:r>
      <w:r>
        <w:t xml:space="preserve">are </w:t>
      </w:r>
      <w:r>
        <w:tab/>
      </w:r>
      <w:r>
        <w:t xml:space="preserve">Interested </w:t>
      </w:r>
      <w:r>
        <w:tab/>
      </w:r>
      <w:r>
        <w:t xml:space="preserve">in </w:t>
      </w:r>
      <w:r>
        <w:tab/>
      </w:r>
      <w:r>
        <w:t xml:space="preserve">bidding </w:t>
      </w:r>
      <w:r>
        <w:tab/>
      </w:r>
      <w:r>
        <w:t xml:space="preserve">for </w:t>
      </w:r>
      <w:r>
        <w:tab/>
      </w:r>
      <w:r>
        <w:t xml:space="preserve">the </w:t>
      </w:r>
      <w:r>
        <w:tab/>
      </w:r>
      <w:r>
        <w:t xml:space="preserve">property </w:t>
      </w:r>
      <w:r>
        <w:tab/>
      </w:r>
      <w:r>
        <w:t xml:space="preserve">belonging </w:t>
      </w:r>
      <w:r>
        <w:tab/>
      </w:r>
      <w:r>
        <w:t xml:space="preserve">to </w:t>
      </w:r>
    </w:p>
    <w:p>
      <w:pPr>
        <w:pStyle w:val="style0"/>
        <w:tabs>
          <w:tab w:val="center" w:leader="none" w:pos="3205"/>
          <w:tab w:val="center" w:leader="none" w:pos="7806"/>
          <w:tab w:val="right" w:leader="none" w:pos="10070"/>
        </w:tabs>
        <w:ind w:left="0" w:firstLine="0"/>
        <w:jc w:val="left"/>
        <w:rPr/>
      </w:pPr>
      <w:r>
        <w:rPr>
          <w:rFonts w:ascii="Calibri" w:cs="Calibri" w:eastAsia="Calibri" w:hAnsi="Calibri"/>
        </w:rPr>
        <w:tab/>
      </w:r>
      <w:r>
        <w:t>(Mr/</w:t>
      </w:r>
      <w:r>
        <w:t>Mrs) _</w:t>
      </w:r>
      <w:r>
        <w:t xml:space="preserve">_____________________________________and situated at </w:t>
      </w:r>
    </w:p>
    <w:p>
      <w:pPr>
        <w:pStyle w:val="style0"/>
        <w:spacing w:after="165"/>
        <w:ind w:left="540" w:right="166" w:firstLine="0"/>
        <w:rPr/>
      </w:pPr>
      <w:r>
        <w:t xml:space="preserve">_____________________________________________________________________________________ _________________________________________________________________. </w:t>
      </w:r>
    </w:p>
    <w:p>
      <w:pPr>
        <w:pStyle w:val="style0"/>
        <w:ind w:left="535" w:right="166"/>
        <w:rPr/>
      </w:pPr>
      <w:r>
        <w:t xml:space="preserve">That I / We have got the auction information from the: </w:t>
      </w:r>
    </w:p>
    <w:tbl>
      <w:tblPr>
        <w:tblStyle w:val="style4097"/>
        <w:tblW w:w="8932" w:type="dxa"/>
        <w:tblInd w:w="540" w:type="dxa"/>
        <w:tblCellMar>
          <w:top w:w="14" w:type="dxa"/>
          <w:left w:w="108" w:type="dxa"/>
          <w:right w:w="53" w:type="dxa"/>
        </w:tblCellMar>
        <w:tblLook w:val="04A0" w:firstRow="1" w:lastRow="0" w:firstColumn="1" w:lastColumn="0" w:noHBand="0" w:noVBand="1"/>
      </w:tblPr>
      <w:tblGrid>
        <w:gridCol w:w="3545"/>
        <w:gridCol w:w="5387"/>
      </w:tblGrid>
      <w:tr>
        <w:trPr>
          <w:trHeight w:val="593" w:hRule="atLeast"/>
        </w:trPr>
        <w:tc>
          <w:tcPr>
            <w:tcW w:w="3545" w:type="dxa"/>
            <w:tcBorders>
              <w:top w:val="single" w:sz="4" w:space="0" w:color="000000"/>
              <w:left w:val="single" w:sz="4" w:space="0" w:color="000000"/>
              <w:bottom w:val="single" w:sz="4" w:space="0" w:color="000000"/>
              <w:right w:val="single" w:sz="4" w:space="0" w:color="000000"/>
            </w:tcBorders>
          </w:tcPr>
          <w:p>
            <w:pPr>
              <w:pStyle w:val="style0"/>
              <w:spacing w:after="17" w:lineRule="auto" w:line="259"/>
              <w:ind w:left="0" w:firstLine="0"/>
              <w:jc w:val="left"/>
              <w:rPr/>
            </w:pPr>
            <w:r>
              <w:rPr>
                <w:b/>
              </w:rPr>
              <w:t xml:space="preserve">Broker/ Agency (details) </w:t>
            </w:r>
          </w:p>
          <w:p>
            <w:pPr>
              <w:pStyle w:val="style0"/>
              <w:spacing w:after="0" w:lineRule="auto" w:line="259"/>
              <w:ind w:left="0" w:firstLine="0"/>
              <w:jc w:val="left"/>
              <w:rPr/>
            </w:pPr>
          </w:p>
        </w:tc>
        <w:tc>
          <w:tcPr>
            <w:tcW w:w="538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p>
        </w:tc>
      </w:tr>
      <w:tr>
        <w:tblPrEx/>
        <w:trPr>
          <w:trHeight w:val="590" w:hRule="atLeast"/>
        </w:trPr>
        <w:tc>
          <w:tcPr>
            <w:tcW w:w="3545" w:type="dxa"/>
            <w:tcBorders>
              <w:top w:val="single" w:sz="4" w:space="0" w:color="000000"/>
              <w:left w:val="single" w:sz="4" w:space="0" w:color="000000"/>
              <w:bottom w:val="single" w:sz="4" w:space="0" w:color="000000"/>
              <w:right w:val="single" w:sz="4" w:space="0" w:color="000000"/>
            </w:tcBorders>
          </w:tcPr>
          <w:p>
            <w:pPr>
              <w:pStyle w:val="style0"/>
              <w:spacing w:after="14" w:lineRule="auto" w:line="259"/>
              <w:ind w:left="0" w:firstLine="0"/>
              <w:jc w:val="left"/>
              <w:rPr/>
            </w:pPr>
            <w:r>
              <w:rPr>
                <w:b/>
              </w:rPr>
              <w:t xml:space="preserve">News Paper Publication </w:t>
            </w:r>
          </w:p>
          <w:p>
            <w:pPr>
              <w:pStyle w:val="style0"/>
              <w:spacing w:after="0" w:lineRule="auto" w:line="259"/>
              <w:ind w:left="900" w:firstLine="0"/>
              <w:jc w:val="center"/>
              <w:rPr/>
            </w:pPr>
          </w:p>
        </w:tc>
        <w:tc>
          <w:tcPr>
            <w:tcW w:w="538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p>
        </w:tc>
      </w:tr>
      <w:tr>
        <w:tblPrEx/>
        <w:trPr>
          <w:trHeight w:val="593" w:hRule="atLeast"/>
        </w:trPr>
        <w:tc>
          <w:tcPr>
            <w:tcW w:w="3545" w:type="dxa"/>
            <w:tcBorders>
              <w:top w:val="single" w:sz="4" w:space="0" w:color="000000"/>
              <w:left w:val="single" w:sz="4" w:space="0" w:color="000000"/>
              <w:bottom w:val="single" w:sz="4" w:space="0" w:color="000000"/>
              <w:right w:val="single" w:sz="4" w:space="0" w:color="000000"/>
            </w:tcBorders>
          </w:tcPr>
          <w:p>
            <w:pPr>
              <w:pStyle w:val="style0"/>
              <w:spacing w:after="14" w:lineRule="auto" w:line="259"/>
              <w:ind w:left="0" w:firstLine="0"/>
              <w:jc w:val="left"/>
              <w:rPr/>
            </w:pPr>
            <w:r>
              <w:rPr>
                <w:b/>
              </w:rPr>
              <w:t xml:space="preserve">ICFL Call Centre </w:t>
            </w:r>
          </w:p>
          <w:p>
            <w:pPr>
              <w:pStyle w:val="style0"/>
              <w:spacing w:after="0" w:lineRule="auto" w:line="259"/>
              <w:ind w:left="0" w:firstLine="0"/>
              <w:jc w:val="left"/>
              <w:rPr/>
            </w:pPr>
          </w:p>
        </w:tc>
        <w:tc>
          <w:tcPr>
            <w:tcW w:w="538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p>
        </w:tc>
      </w:tr>
      <w:tr>
        <w:tblPrEx/>
        <w:trPr>
          <w:trHeight w:val="300" w:hRule="atLeast"/>
        </w:trPr>
        <w:tc>
          <w:tcPr>
            <w:tcW w:w="3545"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p>
        </w:tc>
      </w:tr>
      <w:tr>
        <w:tblPrEx/>
        <w:trPr>
          <w:trHeight w:val="593" w:hRule="atLeast"/>
        </w:trPr>
        <w:tc>
          <w:tcPr>
            <w:tcW w:w="3545"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rPr/>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p>
        </w:tc>
      </w:tr>
    </w:tbl>
    <w:p>
      <w:pPr>
        <w:pStyle w:val="style0"/>
        <w:spacing w:after="175" w:lineRule="auto" w:line="259"/>
        <w:ind w:left="540" w:firstLine="0"/>
        <w:jc w:val="left"/>
        <w:rPr/>
      </w:pPr>
    </w:p>
    <w:p>
      <w:pPr>
        <w:pStyle w:val="style0"/>
        <w:spacing w:after="165"/>
        <w:ind w:left="535" w:right="166"/>
        <w:rPr/>
      </w:pPr>
      <w:r>
        <w:t xml:space="preserve">That I / We Do Not Have any direct/indirect relationship/connect with an employee of ICFL, and if yes to provide details (Full Name &amp; Contact Details): </w:t>
      </w:r>
    </w:p>
    <w:p>
      <w:pPr>
        <w:pStyle w:val="style0"/>
        <w:spacing w:after="165"/>
        <w:ind w:left="535" w:right="166"/>
        <w:rPr/>
      </w:pPr>
      <w:r>
        <w:t xml:space="preserve">_____________________________________________________________________________________ _______________________________________________________________________________ </w:t>
      </w:r>
    </w:p>
    <w:p>
      <w:pPr>
        <w:pStyle w:val="style0"/>
        <w:spacing w:after="165"/>
        <w:ind w:left="535" w:right="166"/>
        <w:rPr/>
      </w:pPr>
      <w:r>
        <w:t xml:space="preserve">That I/We will not indulge directly or indirectly in any/all kind of unlawful activities e.g., soliciting any person or employee of ICFL with any additional payment or any undue advantage in lieu of the Auction. </w:t>
      </w:r>
    </w:p>
    <w:p>
      <w:pPr>
        <w:pStyle w:val="style0"/>
        <w:spacing w:after="165"/>
        <w:ind w:left="535" w:right="166"/>
        <w:rPr/>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w:t>
      </w:r>
      <w:r>
        <w:t xml:space="preserve">paid by me / us are liable to be forfeited by the Authorized Officer of ICFL and that ICFL has also a right to proceed against me / us for specific performance of the contract. </w:t>
      </w:r>
    </w:p>
    <w:p>
      <w:pPr>
        <w:pStyle w:val="style0"/>
        <w:spacing w:after="165"/>
        <w:ind w:left="535" w:right="166"/>
        <w:rPr/>
      </w:pPr>
      <w:r>
        <w:t xml:space="preserve">That I am/ we are solely responsible for all formalities and legal obligations related to registration of sale certificate. All necessary statutory dues e.g., payment of stamp duty, registration charges including Payment of TDS, Service Charges and Cess etc. </w:t>
      </w:r>
      <w:r>
        <w:t>leviable</w:t>
      </w:r>
      <w:r>
        <w:t xml:space="preserve"> and payable as per the laws of the immovable property(s) on sale of Immovable secured asset and property tax dues &amp; arrears, electricity dues &amp; arrears, transfer charges etc. for transfer of Immovable secured asset in my / our name will be paid by me / us. </w:t>
      </w:r>
    </w:p>
    <w:p>
      <w:pPr>
        <w:pStyle w:val="style0"/>
        <w:spacing w:after="0" w:lineRule="auto" w:line="259"/>
        <w:ind w:left="540" w:firstLine="0"/>
        <w:jc w:val="left"/>
        <w:rPr/>
      </w:pPr>
    </w:p>
    <w:p>
      <w:pPr>
        <w:pStyle w:val="style0"/>
        <w:spacing w:after="0" w:lineRule="auto" w:line="259"/>
        <w:ind w:left="540" w:firstLine="0"/>
        <w:jc w:val="left"/>
        <w:rPr/>
      </w:pPr>
    </w:p>
    <w:tbl>
      <w:tblPr>
        <w:tblStyle w:val="style4097"/>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trPr>
          <w:trHeight w:val="303" w:hRule="atLeast"/>
        </w:trPr>
        <w:tc>
          <w:tcPr>
            <w:tcW w:w="386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 </w:t>
            </w:r>
          </w:p>
        </w:tc>
      </w:tr>
      <w:tr>
        <w:tblPrEx/>
        <w:trPr>
          <w:trHeight w:val="300" w:hRule="atLeast"/>
        </w:trPr>
        <w:tc>
          <w:tcPr>
            <w:tcW w:w="386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 </w:t>
            </w:r>
          </w:p>
        </w:tc>
      </w:tr>
      <w:tr>
        <w:tblPrEx/>
        <w:trPr>
          <w:trHeight w:val="463" w:hRule="atLeast"/>
        </w:trPr>
        <w:tc>
          <w:tcPr>
            <w:tcW w:w="386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 </w:t>
            </w:r>
          </w:p>
        </w:tc>
      </w:tr>
      <w:tr>
        <w:tblPrEx/>
        <w:trPr>
          <w:trHeight w:val="300" w:hRule="atLeast"/>
        </w:trPr>
        <w:tc>
          <w:tcPr>
            <w:tcW w:w="386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 </w:t>
            </w:r>
          </w:p>
        </w:tc>
      </w:tr>
      <w:tr>
        <w:tblPrEx/>
        <w:trPr>
          <w:trHeight w:val="302" w:hRule="atLeast"/>
        </w:trPr>
        <w:tc>
          <w:tcPr>
            <w:tcW w:w="3867"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 </w:t>
            </w:r>
          </w:p>
        </w:tc>
      </w:tr>
    </w:tbl>
    <w:p>
      <w:pPr>
        <w:pStyle w:val="style0"/>
        <w:spacing w:after="20" w:lineRule="auto" w:line="259"/>
        <w:ind w:left="706" w:firstLine="0"/>
        <w:jc w:val="left"/>
        <w:rPr/>
      </w:pPr>
      <w:r>
        <w:tab/>
      </w:r>
    </w:p>
    <w:p>
      <w:pPr>
        <w:pStyle w:val="style0"/>
        <w:spacing w:after="14" w:lineRule="auto" w:line="259"/>
        <w:ind w:left="706" w:firstLine="0"/>
        <w:jc w:val="left"/>
        <w:rPr/>
      </w:pPr>
    </w:p>
    <w:p>
      <w:pPr>
        <w:pStyle w:val="style0"/>
        <w:ind w:left="716" w:right="166"/>
        <w:rPr/>
      </w:pPr>
      <w:r>
        <w:t xml:space="preserve">Yours faithfully, </w:t>
      </w:r>
    </w:p>
    <w:p>
      <w:pPr>
        <w:pStyle w:val="style0"/>
        <w:tabs>
          <w:tab w:val="center" w:leader="none" w:pos="942"/>
          <w:tab w:val="center" w:leader="none" w:pos="4573"/>
        </w:tabs>
        <w:spacing w:after="58"/>
        <w:ind w:left="0" w:firstLine="0"/>
        <w:jc w:val="left"/>
        <w:rPr/>
      </w:pPr>
      <w:r>
        <w:rPr>
          <w:rFonts w:ascii="Calibri" w:cs="Calibri" w:eastAsia="Calibri" w:hAnsi="Calibri"/>
        </w:rPr>
        <w:tab/>
      </w:r>
      <w:r>
        <w:t>(M/s.</w:t>
      </w:r>
      <w:r>
        <w:t xml:space="preserve"> </w:t>
      </w:r>
      <w:r>
        <w:tab/>
      </w:r>
    </w:p>
    <w:p>
      <w:pPr>
        <w:pStyle w:val="style0"/>
        <w:ind w:left="716" w:right="166"/>
        <w:rPr/>
      </w:pPr>
      <w:r>
        <w:t xml:space="preserve">………………………………………….) </w:t>
      </w:r>
    </w:p>
    <w:p>
      <w:pPr>
        <w:pStyle w:val="style0"/>
        <w:tabs>
          <w:tab w:val="center" w:leader="none" w:pos="1574"/>
          <w:tab w:val="center" w:leader="none" w:pos="4573"/>
        </w:tabs>
        <w:ind w:left="0" w:firstLine="0"/>
        <w:jc w:val="left"/>
        <w:rPr/>
      </w:pPr>
      <w:r>
        <w:rPr>
          <w:rFonts w:ascii="Calibri" w:cs="Calibri" w:eastAsia="Calibri" w:hAnsi="Calibri"/>
        </w:rPr>
        <w:tab/>
      </w:r>
      <w:r>
        <w:t xml:space="preserve">Signature of Bidder </w:t>
      </w:r>
      <w:r>
        <w:tab/>
      </w:r>
    </w:p>
    <w:p>
      <w:pPr>
        <w:pStyle w:val="style0"/>
        <w:spacing w:after="20" w:lineRule="auto" w:line="259"/>
        <w:ind w:left="706" w:firstLine="0"/>
        <w:jc w:val="left"/>
        <w:rPr/>
      </w:pPr>
      <w:r>
        <w:tab/>
      </w:r>
    </w:p>
    <w:p>
      <w:pPr>
        <w:pStyle w:val="style0"/>
        <w:spacing w:after="22" w:lineRule="auto" w:line="259"/>
        <w:ind w:left="648" w:firstLine="0"/>
        <w:jc w:val="left"/>
        <w:rPr/>
      </w:pPr>
      <w:r>
        <w:tab/>
      </w:r>
    </w:p>
    <w:p>
      <w:pPr>
        <w:pStyle w:val="style0"/>
        <w:spacing w:after="20" w:lineRule="auto" w:line="259"/>
        <w:ind w:left="648" w:firstLine="0"/>
        <w:jc w:val="left"/>
        <w:rPr/>
      </w:pPr>
      <w:r>
        <w:tab/>
      </w:r>
    </w:p>
    <w:p>
      <w:pPr>
        <w:pStyle w:val="style0"/>
        <w:spacing w:after="183" w:lineRule="auto" w:line="259"/>
        <w:ind w:left="648" w:firstLine="0"/>
        <w:jc w:val="left"/>
        <w:rPr/>
      </w:pPr>
      <w:r>
        <w:tab/>
      </w:r>
    </w:p>
    <w:p>
      <w:pPr>
        <w:pStyle w:val="style0"/>
        <w:spacing w:after="20" w:lineRule="auto" w:line="259"/>
        <w:ind w:left="648" w:firstLine="0"/>
        <w:jc w:val="left"/>
        <w:rPr/>
      </w:pPr>
      <w:r>
        <w:tab/>
      </w:r>
    </w:p>
    <w:p>
      <w:pPr>
        <w:pStyle w:val="style0"/>
        <w:spacing w:after="20" w:lineRule="auto" w:line="259"/>
        <w:ind w:left="648" w:firstLine="0"/>
        <w:jc w:val="left"/>
        <w:rPr/>
      </w:pPr>
      <w:r>
        <w:tab/>
      </w:r>
    </w:p>
    <w:p>
      <w:pPr>
        <w:pStyle w:val="style0"/>
        <w:spacing w:after="156" w:lineRule="auto" w:line="259"/>
        <w:ind w:left="540" w:firstLine="0"/>
        <w:jc w:val="left"/>
        <w:rPr/>
      </w:pPr>
    </w:p>
    <w:p>
      <w:pPr>
        <w:pStyle w:val="style0"/>
        <w:spacing w:after="0" w:lineRule="auto" w:line="259"/>
        <w:ind w:left="540" w:firstLine="0"/>
        <w:jc w:val="left"/>
        <w:rPr/>
      </w:pPr>
    </w:p>
    <w:sectPr>
      <w:pgSz w:w="12240" w:h="15840" w:orient="portrait"/>
      <w:pgMar w:top="1442" w:right="1270" w:bottom="1515"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A4F27520">
      <w:start w:val="1"/>
      <w:numFmt w:val="decimal"/>
      <w:lvlText w:val="%1)"/>
      <w:lvlJc w:val="left"/>
      <w:pPr>
        <w:ind w:left="-323"/>
      </w:pPr>
      <w:rPr>
        <w:rFonts w:ascii="Calibri" w:cs="Calibri" w:eastAsia="Calibri" w:hAnsi="Calibri"/>
        <w:b/>
        <w:bCs/>
        <w:i w:val="false"/>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cs="Times New Roman" w:eastAsia="Times New Roman" w:hAnsi="Times New Roman"/>
        <w:b/>
        <w:bCs/>
        <w:i w:val="false"/>
        <w:color w:val="000000"/>
        <w:sz w:val="22"/>
        <w:szCs w:val="22"/>
        <w:u w:val="none" w:color="000000"/>
        <w:bdr w:val="none" w:sz="0" w:space="0" w:color="auto"/>
        <w:shd w:val="clear" w:color="auto" w:fill="auto"/>
        <w:vertAlign w:val="baseline"/>
      </w:rPr>
    </w:lvl>
  </w:abstractNum>
  <w:abstractNum w:abstractNumId="1">
    <w:nsid w:val="00000001"/>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nsid w:val="00000002"/>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nsid w:val="00000003"/>
    <w:multiLevelType w:val="hybridMultilevel"/>
    <w:tmpl w:val="FFFFFFFF"/>
    <w:lvl w:ilvl="0" w:tplc="9A540F10">
      <w:start w:val="1"/>
      <w:numFmt w:val="bullet"/>
      <w:lvlText w:val="*"/>
      <w:lvlJc w:val="left"/>
      <w:pPr>
        <w:ind w:left="167"/>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cs="Times New Roman" w:eastAsia="Times New Roman" w:hAnsi="Times New Roman"/>
        <w:b w:val="false"/>
        <w:i w:val="false"/>
        <w:color w:val="000000"/>
        <w:sz w:val="22"/>
        <w:szCs w:val="22"/>
        <w:u w:val="none" w:color="000000"/>
        <w:bdr w:val="none" w:sz="0" w:space="0" w:color="auto"/>
        <w:shd w:val="clear" w:color="auto" w:fill="auto"/>
        <w:vertAlign w:val="baseline"/>
      </w:rPr>
    </w:lvl>
  </w:abstractNum>
  <w:abstractNum w:abstractNumId="4">
    <w:nsid w:val="00000004"/>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pacing w:after="12" w:lineRule="auto" w:line="267"/>
      <w:ind w:left="550" w:hanging="10"/>
      <w:jc w:val="both"/>
    </w:pPr>
    <w:rPr>
      <w:rFonts w:ascii="Times New Roman" w:cs="Times New Roman" w:eastAsia="Times New Roman" w:hAnsi="Times New Roman"/>
      <w:color w:val="000000"/>
      <w:lang w:bidi="en-IN"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Grid"/>
    <w:next w:val="style4097"/>
    <w:pPr>
      <w:spacing w:after="0" w:lineRule="auto" w:line="240"/>
    </w:pPr>
    <w:rPr/>
    <w:tblPr>
      <w:tblCellMar>
        <w:top w:w="0" w:type="dxa"/>
        <w:left w:w="0" w:type="dxa"/>
        <w:bottom w:w="0" w:type="dxa"/>
        <w:right w:w="0" w:type="dxa"/>
      </w:tblCellMar>
    </w:tblPr>
    <w:tcPr>
      <w:tcBorders/>
    </w:tc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0ed61615-a923-4e07-b23a-db1c3779cc54"/>
    <w:basedOn w:val="style65"/>
    <w:next w:val="style4098"/>
    <w:link w:val="style31"/>
    <w:uiPriority w:val="99"/>
    <w:rPr>
      <w:rFonts w:ascii="Times New Roman" w:cs="Times New Roman" w:eastAsia="Times New Roman" w:hAnsi="Times New Roman"/>
      <w:color w:val="000000"/>
      <w:lang w:bidi="en-IN" w:eastAsia="en-IN"/>
    </w:rPr>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554fe018-7102-43c1-af11-b34852afdfe1"/>
    <w:basedOn w:val="style65"/>
    <w:next w:val="style4099"/>
    <w:link w:val="style32"/>
    <w:uiPriority w:val="99"/>
    <w:rPr>
      <w:rFonts w:ascii="Times New Roman" w:cs="Times New Roman" w:eastAsia="Times New Roman" w:hAnsi="Times New Roman"/>
      <w:color w:val="000000"/>
      <w:lang w:bidi="en-IN" w:eastAsia="en-IN"/>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56A50-8FDA-4C97-B166-73E8D38F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Words>3425</Words>
  <Pages>9</Pages>
  <Characters>18336</Characters>
  <Application>WPS Office</Application>
  <DocSecurity>0</DocSecurity>
  <Paragraphs>313</Paragraphs>
  <ScaleCrop>false</ScaleCrop>
  <LinksUpToDate>false</LinksUpToDate>
  <CharactersWithSpaces>21865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2023-06-30T08:08:00Z</dcterms:created>
  <dc:creator>SAURABH SAWANT</dc:creator>
  <lastModifiedBy>2109119DI</lastModifiedBy>
  <dcterms:modified xsi:type="dcterms:W3CDTF">2023-07-01T10:13:28Z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y fmtid="{D5CDD505-2E9C-101B-9397-08002B2CF9AE}" pid="3" name="ICV">
    <vt:lpwstr>d39d5871846a40bc8cc74a6b3b768361</vt:lpwstr>
  </property>
</Properties>
</file>